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80"/>
      </w:pPr>
      <w:r>
        <w:rPr>
          <w:rFonts w:ascii="Aptos Display" w:hAnsi="Aptos Display"/>
          <w:b/>
          <w:color w:val="17365D"/>
          <w:sz w:val="44"/>
        </w:rPr>
        <w:t>1.6 Governance Maturity Reference</w:t>
      </w:r>
    </w:p>
    <w:p>
      <w:pPr>
        <w:keepLines w:val="0"/>
        <w:spacing w:after="140" w:line="271" w:lineRule="auto"/>
      </w:pPr>
      <w:r>
        <w:rPr>
          <w:rFonts w:ascii="Aptos" w:hAnsi="Aptos"/>
          <w:color w:val="2F3A4A"/>
          <w:sz w:val="20"/>
        </w:rPr>
        <w:t>Governance maturity is the operational ability to sustain accountable, evidence-supported, scalable governance while conditions change. Within this framework, maturity is not measured by the number of committees, policies, or review artifacts in place. It is measured by whether governance decisions remain attributable, evidence remains usable, escalation remains proportionate, and control expectations remain connected to the processes they govern.</w:t>
      </w:r>
    </w:p>
    <w:p>
      <w:pPr>
        <w:keepLines w:val="0"/>
        <w:spacing w:after="140" w:line="271" w:lineRule="auto"/>
      </w:pPr>
      <w:r>
        <w:rPr>
          <w:rFonts w:ascii="Aptos" w:hAnsi="Aptos"/>
          <w:color w:val="2F3A4A"/>
          <w:sz w:val="20"/>
        </w:rPr>
        <w:t>Immature governance often appears adequate during routine periods because informal coordination can compensate for weak structure. A capable manager may remember exceptions, chase delayed evidence, interpret ambiguous ownership, and brief executives before a customer inquiry exposes the gap. That operating pattern can produce acceptable short-term outcomes while leaving the institution dependent on memory, personal influence, and unrecorded judgment.</w:t>
      </w:r>
    </w:p>
    <w:p>
      <w:pPr>
        <w:keepLines w:val="0"/>
        <w:spacing w:after="140" w:line="271" w:lineRule="auto"/>
      </w:pPr>
      <w:r>
        <w:rPr>
          <w:rFonts w:ascii="Aptos" w:hAnsi="Aptos"/>
          <w:color w:val="2F3A4A"/>
          <w:sz w:val="20"/>
        </w:rPr>
        <w:t>Mature governance behaves differently under pressure. It absorbs growth, vendor changes, audit requests, AI-use expansion, staff turnover, and incident response without requiring the organization to rediscover who owns a decision, where evidence resides, or which forum has authority to accept residual exposure. The model established by this binder treats maturity as a practical resilience condition rather than a ceremonial rating.</w:t>
      </w:r>
    </w:p>
    <w:p>
      <w:pPr>
        <w:pStyle w:val="Heading2"/>
        <w:keepNext/>
        <w:spacing w:before="200" w:after="100"/>
      </w:pPr>
      <w:r>
        <w:rPr>
          <w:rFonts w:ascii="Aptos Display" w:hAnsi="Aptos Display"/>
          <w:b/>
          <w:color w:val="17365D"/>
          <w:sz w:val="30"/>
        </w:rPr>
        <w:t>Maturity Reference Principles</w:t>
      </w:r>
    </w:p>
    <w:p>
      <w:pPr>
        <w:spacing w:after="84" w:line="259" w:lineRule="auto"/>
        <w:ind w:left="259" w:hanging="259"/>
      </w:pPr>
      <w:r>
        <w:rPr>
          <w:rFonts w:ascii="Aptos" w:hAnsi="Aptos"/>
          <w:b/>
          <w:color w:val="17365D"/>
          <w:sz w:val="19"/>
        </w:rPr>
        <w:t xml:space="preserve">Maturity is uneven by design. </w:t>
      </w:r>
      <w:r>
        <w:rPr>
          <w:rFonts w:ascii="Aptos" w:hAnsi="Aptos"/>
          <w:color w:val="2F3A4A"/>
          <w:sz w:val="19"/>
        </w:rPr>
        <w:t>A finance reporting control may have strong evidence discipline while a product governance process relies on informal escalation. The assessment must tolerate asymmetry without allowing it to become invisible.</w:t>
      </w:r>
    </w:p>
    <w:p>
      <w:pPr>
        <w:spacing w:after="84" w:line="259" w:lineRule="auto"/>
        <w:ind w:left="259" w:hanging="259"/>
      </w:pPr>
      <w:r>
        <w:rPr>
          <w:rFonts w:ascii="Aptos" w:hAnsi="Aptos"/>
          <w:b/>
          <w:color w:val="17365D"/>
          <w:sz w:val="19"/>
        </w:rPr>
        <w:t xml:space="preserve">Scale exposes hidden fragility. </w:t>
      </w:r>
      <w:r>
        <w:rPr>
          <w:rFonts w:ascii="Aptos" w:hAnsi="Aptos"/>
          <w:color w:val="2F3A4A"/>
          <w:sz w:val="19"/>
        </w:rPr>
        <w:t>Rapid hiring, customer volume, acquisitions, or new AI-assisted workflows can turn undocumented institutional knowledge into a governance constraint.</w:t>
      </w:r>
    </w:p>
    <w:p>
      <w:pPr>
        <w:spacing w:after="84" w:line="259" w:lineRule="auto"/>
        <w:ind w:left="259" w:hanging="259"/>
      </w:pPr>
      <w:r>
        <w:rPr>
          <w:rFonts w:ascii="Aptos" w:hAnsi="Aptos"/>
          <w:b/>
          <w:color w:val="17365D"/>
          <w:sz w:val="19"/>
        </w:rPr>
        <w:t xml:space="preserve">Evidence maturity and escalation maturity are separate capabilities. </w:t>
      </w:r>
      <w:r>
        <w:rPr>
          <w:rFonts w:ascii="Aptos" w:hAnsi="Aptos"/>
          <w:color w:val="2F3A4A"/>
          <w:sz w:val="19"/>
        </w:rPr>
        <w:t>A team may retain complete artifacts while lacking a reliable route for exception acceptance, funding decisions, or cross-functional remediation.</w:t>
      </w:r>
    </w:p>
    <w:p>
      <w:pPr>
        <w:spacing w:after="84" w:line="259" w:lineRule="auto"/>
        <w:ind w:left="259" w:hanging="259"/>
      </w:pPr>
      <w:r>
        <w:rPr>
          <w:rFonts w:ascii="Aptos" w:hAnsi="Aptos"/>
          <w:b/>
          <w:color w:val="17365D"/>
          <w:sz w:val="19"/>
        </w:rPr>
        <w:t xml:space="preserve">Sustainability requires substitution capacity. </w:t>
      </w:r>
      <w:r>
        <w:rPr>
          <w:rFonts w:ascii="Aptos" w:hAnsi="Aptos"/>
          <w:color w:val="2F3A4A"/>
          <w:sz w:val="19"/>
        </w:rPr>
        <w:t>A governance process that fails when one coordinator is unavailable has not reached institutional maturity, even when the artifacts appear polished.</w:t>
      </w:r>
    </w:p>
    <w:p>
      <w:pPr>
        <w:pStyle w:val="Heading2"/>
        <w:keepNext/>
        <w:spacing w:before="280" w:after="100"/>
      </w:pPr>
      <w:r>
        <w:rPr>
          <w:rFonts w:ascii="Aptos Display" w:hAnsi="Aptos Display"/>
          <w:b/>
          <w:color w:val="17365D"/>
          <w:sz w:val="30"/>
        </w:rPr>
        <w:t>Governance Maturity Stage Taxonomy</w:t>
      </w:r>
    </w:p>
    <w:p>
      <w:pPr>
        <w:keepLines w:val="0"/>
        <w:spacing w:after="120" w:line="271" w:lineRule="auto"/>
      </w:pPr>
      <w:r>
        <w:rPr>
          <w:rFonts w:ascii="Aptos" w:hAnsi="Aptos"/>
          <w:color w:val="2F3A4A"/>
          <w:sz w:val="20"/>
        </w:rPr>
        <w:t>The following taxonomy describes observable institutional behavior rather than aspirational labels. Each stage may coexist with other stages inside the same organization; the useful maturity question is not the average rating, but where unmanaged exposure is concentrated.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Maturity Stage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Observable Governance Behavior</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Evidence Discipline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Escalation Pattern</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Primary Fragility</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1: Person-Dependent</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Governance activity moves through experienced individuals who know who to call, which exceptions matter, and how prior decisions were interpreted.</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are retained unevenly; context frequently sits in email threads, meeting memory, or local files.</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Issues rise through informal relationships before a recognized decision forum becomes involved.</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Turnover, absence, or competing priorities can interrupt control continuity without appearing as a formal process failure.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Stage 2: Defined but Brittle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Policies, owners, and review calendars exist, but operational teams still interpret many obligations case by case.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is collected for known reviews, yet linkage to obligation, population, or decision basis may be incomplete.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Escalations follow named paths, but late routing occurs when the issue crosses functional boundaries.</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survives routine cycles but strains under customer requests, incidents, or accelerated product change.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3: Operationalized</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owners, reviewers, and decision authorities are distinct enough for accountability to remain traceable.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is connected to control intent, review period, source system, exception handling, and approval scope.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Material exceptions move to the correct authority before commitments are made externally.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model depends on disciplined maintenance; stale ownership mappings can quietly reduce coverage.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Stage 4: Integrated</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activity is embedded in operating rhythms across risk, legal, product, finance, security, and executive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packages support audit, customer confidence, internal review, and remediation decisions without major reconstruction.</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thresholds reflect exposure, timing, contractual commitments, and funding authority.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Coordination load increases; review saturation can dilute attention if every matter is routed through senior forums.</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5: Adaptive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Governance adjusts when systems, AI use cases, customer obligations, vendors, or organizational structures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requirements are reassessed when the governed process changes, not only when an audit is scheduled.</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patterns are reviewed for delay, repeat exceptions, unresolved dependencies, and late executive entry.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Adaptability can become over-engineering if reassessment effort exceeds the materiality of the change.</w:t>
            </w:r>
          </w:p>
        </w:tc>
      </w:tr>
    </w:tbl>
    <w:p>
      <w:pPr>
        <w:spacing w:after="100"/>
      </w:pPr>
    </w:p>
    <w:p>
      <w:r>
        <w:br w:type="page"/>
      </w:r>
    </w:p>
    <w:p>
      <w:pPr>
        <w:pStyle w:val="Heading2"/>
        <w:keepNext/>
        <w:spacing w:before="120" w:after="100"/>
      </w:pPr>
      <w:r>
        <w:rPr>
          <w:rFonts w:ascii="Aptos Display" w:hAnsi="Aptos Display"/>
          <w:b/>
          <w:color w:val="17365D"/>
          <w:sz w:val="30"/>
        </w:rPr>
        <w:t>Immature and Mature Governance Distinctions</w:t>
      </w:r>
    </w:p>
    <w:p>
      <w:pPr>
        <w:keepLines w:val="0"/>
        <w:spacing w:after="120" w:line="271" w:lineRule="auto"/>
      </w:pPr>
      <w:r>
        <w:rPr>
          <w:rFonts w:ascii="Aptos" w:hAnsi="Aptos"/>
          <w:color w:val="2F3A4A"/>
          <w:sz w:val="20"/>
        </w:rPr>
        <w:t>Governance maturity is clearest when ordinary reporting is disrupted. Mature models preserve decision quality when work is accelerated, evidence is questioned, or accountability crosses teams. Immature models often show process activity without institutional resilience.</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Capability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Immature Operating Signal</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Mature Operating Pattern</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Asymmetrical Risk</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discipline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is produced when requested, but reviewers must reconstruct what period, population, or obligation it supports.</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records identify source, owner, period, review basis, exception treatment, and decision linkage.</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process can look well documented while failing to prove the specific control assertion under audit or customer challenge.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maturity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Issues are escalated after operational commitments have already been made or customer deadlines are near.</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Thresholds distinguish advisory review, management decision, funding approval, and executive risk acceptance.</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Late escalation can convert a manageable exception into a contractual, reputational, or budgetary exposure.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reliability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Controls run on schedule, but system scope, data source, or ownership has drifted since the control was designed.</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performance includes periodic confirmation that the process population and control intent still align.</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successful checklist can mask the fact that the control no longer covers the process that creates risk.</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Oversight integration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Committees receive reports without authority to resolve dependencies, require redesign, or allocate remediation capacity.</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forums have defined inputs, decision rights, escalation outputs, and unresolved dependency tracking.</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forum may increase discussion volume while leaving the underlying decision orphaned.</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Operational continuity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One coordinator informally manages exceptions, briefing quality, and cross-functional follow-through.</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Ownership registers, review calendars, decision logs, and substitute contacts allow continuity during absence or turnover.</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organization may pass routine review cycles while remaining vulnerable to a single point of coordination failure.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AI-assisted workflows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Teams expand use of summaries, classifications, or recommendations without reassessing review responsibility or evidence treatment.</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AI-assisted outputs are governed by use-case boundary, human owner, reliance level, input sensitivity, and override protocol.</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Automation may accelerate decisions faster than accountability, evidence standards, or exception routing can adapt.</w:t>
            </w:r>
          </w:p>
        </w:tc>
      </w:tr>
    </w:tbl>
    <w:p>
      <w:pPr>
        <w:spacing w:after="100"/>
      </w:pPr>
    </w:p>
    <w:p>
      <w:pPr>
        <w:pStyle w:val="Heading2"/>
        <w:keepNext/>
        <w:spacing w:before="240" w:after="100"/>
      </w:pPr>
      <w:r>
        <w:rPr>
          <w:rFonts w:ascii="Aptos Display" w:hAnsi="Aptos Display"/>
          <w:b/>
          <w:color w:val="17365D"/>
          <w:sz w:val="30"/>
        </w:rPr>
        <w:t>Evidence and Escalation Maturity</w:t>
      </w:r>
    </w:p>
    <w:p>
      <w:pPr>
        <w:keepLines w:val="0"/>
        <w:spacing w:after="120" w:line="271" w:lineRule="auto"/>
      </w:pPr>
      <w:r>
        <w:rPr>
          <w:rFonts w:ascii="Aptos" w:hAnsi="Aptos"/>
          <w:color w:val="2F3A4A"/>
          <w:sz w:val="20"/>
        </w:rPr>
        <w:t>Evidence maturity and escalation maturity do not mature at the same pace. Some organizations can produce extensive records but lack a reliable mechanism for unresolved risk decisions. Others escalate quickly but cannot show the evidence basis for approval. This framework treats the two capabilities as linked but independently assessed.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Capability State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Evidence Behavior</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Escalation Behavior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Likely Organizational Example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Concern</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strong; escalation weak</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are complete, dated, and source-linked, but exception implications are not routed to a decision authority.</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 discuss issues locally until a deadline forces senior attention.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control owner documents delayed vendor attestations but no forum accepts the interim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record proves diligence yet fails to establish who knowingly accepted risk.</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strong; evidence weak</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Issues reach senior forums quickly, but decision packets rely on summaries rather than reviewable support.</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Executives make timely decisions with uncertain factual depth.</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product launch exception is approved from a status slide without control evidence or customer obligation mapping.</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Speed is achieved at the cost of audit survivability and decision defensibility.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Process mature; evidence immature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Workflow steps are stable and assigned, but retained records do not show population, sampling logic, or review basis.</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occurs only when tasks are visibly late.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Quarterly access reviews complete on time while reviewer rationale and system coverage are unclear.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Completion discipline is mistaken for control confidence.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mature; AI reliance immature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Records capture final decisions but omit when AI-generated analysis shaped triage, classification, or customer response language.</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follows human review results, not the upstream reliance pattern.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compliance response uses AI summaries of incident records without noting human validation or omitted uncertainty.</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The organization can show the answer given, but not the accountable handling of machine-assisted influence.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Integrated maturity</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reviewer judgment, decision authority, exception disposition, and follow-up obligations remain connected.</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is proportionate to exposure and reaches parties able to decide, fund, or redesign.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late control affecting a contractual attestation is routed with evidence, exposure estimate, owner, and customer deadline.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remaining risk is managed explicitly rather than absorbed through informal effort.</w:t>
            </w:r>
          </w:p>
        </w:tc>
      </w:tr>
    </w:tbl>
    <w:p>
      <w:pPr>
        <w:spacing w:after="100"/>
      </w:pPr>
    </w:p>
    <w:p>
      <w:r>
        <w:br w:type="page"/>
      </w:r>
    </w:p>
    <w:p>
      <w:pPr>
        <w:pStyle w:val="Heading2"/>
        <w:keepNext/>
        <w:spacing w:before="120" w:after="100"/>
      </w:pPr>
      <w:r>
        <w:rPr>
          <w:rFonts w:ascii="Aptos Display" w:hAnsi="Aptos Display"/>
          <w:b/>
          <w:color w:val="17365D"/>
          <w:sz w:val="30"/>
        </w:rPr>
        <w:t>Governance Scaling and Sustainability Patterns</w:t>
      </w:r>
    </w:p>
    <w:p>
      <w:pPr>
        <w:keepLines w:val="0"/>
        <w:spacing w:after="120" w:line="271" w:lineRule="auto"/>
      </w:pPr>
      <w:r>
        <w:rPr>
          <w:rFonts w:ascii="Aptos" w:hAnsi="Aptos"/>
          <w:color w:val="2F3A4A"/>
          <w:sz w:val="20"/>
        </w:rPr>
        <w:t>Growth does not merely add workload; it changes the failure modes of governance. The same operating model that works for a small leadership group may fail when customer commitments multiply, teams specialize, systems fragment, or AI-assisted workflows expand beyond the functions that originally approved them.</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Scaling Condition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What Breaks First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Maturity Adaptation</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Tradeoff to Manage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Realistic Failure Example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Headcount expansion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Institutional knowledge no longer travels through the same managers, and informal routing becomes inconsistent.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Ownership registers, substitute contacts, and decision logs replace personal memory as the coordination mechanism.</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More explicit structure improves continuity but can slow teams that previously relied on direct access to decision-makers.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new operations manager completes a control but misses a contractual evidence deadline known only to the prior owner.</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New regulated product or market</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Existing review forums lack subject-matter authority for obligations introduced by the new activity.</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Scope intake links product change, legal interpretation, control design, evidence expectations, and executive exposure review.</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Early governance can delay launch, while late governance may require expensive remediation after customer commitments.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feature enters production before retention obligations are mapped to the systems generating the relevant records.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Customer volume</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Repeated questionnaires and audits consume control-owner time and encourage reuse of stale evidence.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packages are curated by obligation, date, source, limitation, and approved response language.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Standardization improves consistency but must preserve nuance for customer-specific commitments.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sales team submits a prior-year security artifact because the current control owner cannot respond before the deadline.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Acquisition or platform migration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Controls continue running while system populations, data lineage, and responsible teams change underneath them.</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Migration governance includes control-to-system mapping, evidence transition rules, and temporary exception authority.</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Parallel evidence maintenance increases burden but avoids a blind period during integration.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Access review evidence is complete for the legacy platform while privileged access has moved to the acquiring system.</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AI-use expansion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Teams adopt drafting, triage, classification, or analysis support faster than reliance boundaries are defined.</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AI use cases are categorized by decision influence, data sensitivity, human review, logging, and reassessment trigger.</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Restrictive controls may suppress useful productivity; loose controls create opaque decision influence.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support team uses AI to prioritize complaint severity without reassessing escalation thresholds or override recording.</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Vendor dependency growth</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Supplier performance affects obligations owned by internal teams that lack direct leverage over vendor remediation.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Third-party oversight connects vendor obligations, internal control owners, service commitments, and escalation rights.</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Central vendor governance improves leverage but can distance operational owners from day-to-day failure signals.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vendor delays audit evidence, but the internal attestation owner remains unaware until a customer deadline is missed.</w:t>
            </w:r>
          </w:p>
        </w:tc>
      </w:tr>
    </w:tbl>
    <w:p>
      <w:pPr>
        <w:spacing w:after="100"/>
      </w:pPr>
    </w:p>
    <w:p>
      <w:pPr>
        <w:pStyle w:val="Heading2"/>
        <w:keepNext/>
        <w:spacing w:before="240" w:after="100"/>
      </w:pPr>
      <w:r>
        <w:rPr>
          <w:rFonts w:ascii="Aptos Display" w:hAnsi="Aptos Display"/>
          <w:b/>
          <w:color w:val="17365D"/>
          <w:sz w:val="30"/>
        </w:rPr>
        <w:t>Governance Capability Asymmetry</w:t>
      </w:r>
    </w:p>
    <w:p>
      <w:pPr>
        <w:keepLines w:val="0"/>
        <w:spacing w:after="140" w:line="271" w:lineRule="auto"/>
      </w:pPr>
      <w:r>
        <w:rPr>
          <w:rFonts w:ascii="Aptos" w:hAnsi="Aptos"/>
          <w:color w:val="2F3A4A"/>
          <w:sz w:val="20"/>
        </w:rPr>
        <w:t>Maturity frequently differs across functions, committees, and control families. A mature committee can coexist with immature evidence handling; a well-governed security process can depend on a product team whose decision records are informal. These asymmetries matter because governance failures tend to occur at the boundary between stronger and weaker functions.</w:t>
      </w:r>
    </w:p>
    <w:p>
      <w:pPr>
        <w:keepLines w:val="0"/>
        <w:spacing w:after="140" w:line="271" w:lineRule="auto"/>
      </w:pPr>
      <w:r>
        <w:rPr>
          <w:rFonts w:ascii="Aptos" w:hAnsi="Aptos"/>
          <w:color w:val="2F3A4A"/>
          <w:sz w:val="20"/>
        </w:rPr>
        <w:t>Organizations implementing this framework use maturity differences to prioritize oversight attention. The objective is not uniform sophistication across every activity. The objective is to identify where a less mature governance capability supports a more material obligation, customer commitment, AI-assisted decision path, or executive assertion.</w:t>
      </w:r>
    </w:p>
    <w:p>
      <w:pPr>
        <w:pStyle w:val="Heading2"/>
        <w:keepNext/>
        <w:spacing w:before="120" w:after="100"/>
      </w:pPr>
      <w:r>
        <w:rPr>
          <w:rFonts w:ascii="Aptos Display" w:hAnsi="Aptos Display"/>
          <w:b/>
          <w:color w:val="17365D"/>
          <w:sz w:val="30"/>
        </w:rPr>
        <w:t>Fragility, Regression, and Resilience Indicators</w:t>
      </w:r>
    </w:p>
    <w:p>
      <w:pPr>
        <w:keepLines w:val="0"/>
        <w:spacing w:after="120" w:line="271" w:lineRule="auto"/>
      </w:pPr>
      <w:r>
        <w:rPr>
          <w:rFonts w:ascii="Aptos" w:hAnsi="Aptos"/>
          <w:color w:val="2F3A4A"/>
          <w:sz w:val="20"/>
        </w:rPr>
        <w:t>Maturity can regress. Growth, leadership change, urgent remediation, budget pressure, tooling migrations, and repeated exception handling can erode governance even when documentation remains current. Regression is often visible first through behavior: approvals become thinner, exceptions accumulate, evidence review becomes mechanical, and escalation moves through personal networks rather than defined authority.</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Fragility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Early Indicator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Why It Can Be Missed</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Response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Personality-dependent governance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small number of individuals are repeatedly asked to interpret obligations, chase owners, and prepare executive briefings.</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process appears effective because experienced people continue producing acceptable outcomes.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Document decision paths, assign substitute roles, and test whether a review cycle can complete without the informal coordinator.</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Operational heroics replacing process</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Late evidence, unresolved dependencies, or vendor delays are closed through extraordinary effort before reviews.</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Success is measured by deadline survival rather than by the health of the governance mechanism.</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Track repeat rescues, determine structural cause, and decide whether additional capacity, authority, or redesign is required.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Exception accumulation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Exceptions remain open across review cycles because each individual item appears tolerable.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Aggregate exposure is not visible when exceptions are owned by different teams or forums.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Review exception aging, common root causes, residual risk acceptance, and whether repeated extensions have become a de facto standard.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Review saturation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Committees receive more reports, dashboards, and escalations than they can meaningfully evaluate.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High meeting volume creates the appearance of disciplined oversight.</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Separate information reporting from decision requests and reserve senior agenda time for matters requiring authority.</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maturity drift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remain available, but evidence no longer maps cleanly to the current system, process, or obligation.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File completeness hides control-to-process divergence after a migration or process redesign.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Refresh evidence maps when systems, populations, vendors, or AI-assisted steps materially change.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Informal escalation network</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Material issues are routed through trusted relationships before formal forums see them.</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Informal routing can produce fast outcomes and therefore avoid immediate criticism.</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Compare actual escalation paths to the authority model and record where timing, ownership, or decision basis diverged.</w:t>
            </w:r>
          </w:p>
        </w:tc>
      </w:tr>
    </w:tbl>
    <w:p>
      <w:pPr>
        <w:spacing w:after="100"/>
      </w:pPr>
    </w:p>
    <w:p>
      <w:pPr>
        <w:pStyle w:val="Heading2"/>
        <w:keepNext/>
        <w:spacing w:before="240" w:after="100"/>
      </w:pPr>
      <w:r>
        <w:rPr>
          <w:rFonts w:ascii="Aptos Display" w:hAnsi="Aptos Display"/>
          <w:b/>
          <w:color w:val="17365D"/>
          <w:sz w:val="30"/>
        </w:rPr>
        <w:t>AI-Governance Maturity Distinctions</w:t>
      </w:r>
    </w:p>
    <w:p>
      <w:pPr>
        <w:keepLines w:val="0"/>
        <w:spacing w:after="140" w:line="271" w:lineRule="auto"/>
      </w:pPr>
      <w:r>
        <w:rPr>
          <w:rFonts w:ascii="Aptos" w:hAnsi="Aptos"/>
          <w:color w:val="2F3A4A"/>
          <w:sz w:val="20"/>
        </w:rPr>
        <w:t>AI-assisted workflows expose immature governance structures because they compress analysis, drafting, classification, and triage into tools that may influence decisions without appearing in the accountability chain. Mature AI governance does not require treating every tool output as a regulated decision. It requires identifying when machine-generated content affects judgment, priority, evidence interpretation, customer communication, or exception routing.</w:t>
      </w:r>
    </w:p>
    <w:p>
      <w:pPr>
        <w:keepLines w:val="0"/>
        <w:spacing w:after="140" w:line="271" w:lineRule="auto"/>
      </w:pPr>
      <w:r>
        <w:rPr>
          <w:rFonts w:ascii="Aptos" w:hAnsi="Aptos"/>
          <w:color w:val="2F3A4A"/>
          <w:sz w:val="20"/>
        </w:rPr>
        <w:t>At lower maturity, AI use expands through convenience: teams adopt summaries, draft responses, or prioritization assistance before the organization defines review responsibility or retained evidence. At higher maturity, use-case intake identifies the human accountable owner, the level of reliance, the sensitivity of inputs, the validation expected, the override method, and the trigger for reassessment when use expands.</w:t>
      </w:r>
    </w:p>
    <w:p>
      <w:r>
        <w:br w:type="page"/>
      </w:r>
    </w:p>
    <w:p>
      <w:pPr>
        <w:pStyle w:val="Heading2"/>
        <w:keepNext/>
        <w:spacing w:before="240" w:after="100"/>
      </w:pPr>
      <w:r>
        <w:rPr>
          <w:rFonts w:ascii="Aptos Display" w:hAnsi="Aptos Display"/>
          <w:b/>
          <w:color w:val="17365D"/>
          <w:sz w:val="30"/>
        </w:rPr>
        <w:t>Operational Sustainability Standard</w:t>
      </w:r>
    </w:p>
    <w:p>
      <w:pPr>
        <w:keepLines w:val="0"/>
        <w:spacing w:after="140" w:line="271" w:lineRule="auto"/>
      </w:pPr>
      <w:r>
        <w:rPr>
          <w:rFonts w:ascii="Aptos" w:hAnsi="Aptos"/>
          <w:color w:val="2F3A4A"/>
          <w:sz w:val="20"/>
        </w:rPr>
        <w:t>Governance maturity under this framework is demonstrated when an organization can explain a material decision without relying on personal memory: who owned the obligation, who performed the work, who reviewed the evidence, who approved the decision, what exceptions were known, how AI-assisted input was handled where relevant, and how unresolved exposure was routed.</w:t>
      </w:r>
    </w:p>
    <w:p>
      <w:pPr>
        <w:keepLines w:val="0"/>
        <w:spacing w:after="140" w:line="271" w:lineRule="auto"/>
      </w:pPr>
      <w:r>
        <w:rPr>
          <w:rFonts w:ascii="Aptos" w:hAnsi="Aptos"/>
          <w:color w:val="2F3A4A"/>
          <w:sz w:val="20"/>
        </w:rPr>
        <w:t>The sustainable state is not administrative perfection. It is a governance environment where evidence discipline, escalation maturity, accountable ownership, and oversight authority remain connected as the organization grows, changes systems, adopts new technology, and faces external scrutiny. Mature governance can still accept risk, tolerate exceptions, and move quickly; it does so with decision attribution preserved and institutional exposure understood.</w:t>
      </w:r>
    </w:p>
    <w:sectPr w:rsidR="00FC693F" w:rsidRPr="0006063C" w:rsidSect="00034616">
      <w:footerReference w:type="default" r:id="rId9"/>
      <w:pgSz w:w="12240" w:h="15840"/>
      <w:pgMar w:top="936" w:right="979" w:bottom="893" w:left="979"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536173"/>
        <w:sz w:val="17"/>
      </w:rPr>
      <w:t>Paladin Compliance Governance Binder | Section 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