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
      </w:pPr>
      <w:r>
        <w:rPr>
          <w:rFonts w:ascii="Aptos" w:hAnsi="Aptos" w:eastAsia="Aptos"/>
          <w:b/>
          <w:color w:val="17365D"/>
          <w:sz w:val="39"/>
        </w:rPr>
        <w:t>2.10 Operational Review, Reassessment, and Governance Maintenance Expectations</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operational review, reassessment, and maintenance discipline across workflows utilizing sensitive information, AI-assisted systems, vendor-mediated services, high-consequence decision paths, and operational evidence. The framework treats review as an institutional control over alignment between documented governance and actual operating conditions, not as a calendar activity or periodic confirmation exercise.</w:t>
      </w:r>
    </w:p>
    <w:p>
      <w:pPr>
        <w:spacing w:after="140" w:line="259" w:lineRule="auto"/>
      </w:pPr>
      <w:r>
        <w:rPr>
          <w:rFonts w:ascii="Aptos" w:hAnsi="Aptos" w:eastAsia="Aptos"/>
          <w:b w:val="0"/>
          <w:color w:val="1F2937"/>
          <w:sz w:val="20"/>
        </w:rPr>
        <w:t>Operational review identifies whether work is occurring as represented. Governance reassessment determines whether the representation, control design, authority structure, evidence model, escalation threshold, and reliance boundary remain appropriate after operational change. Maintenance preserves the ability to explain, reconstruct, and recalibrate governance after staff turnover, workflow migration, vendor change, automation expansion, recurring exception, or consequence concentration.</w:t>
      </w:r>
    </w:p>
    <w:p>
      <w:pPr>
        <w:spacing w:after="140" w:line="259" w:lineRule="auto"/>
      </w:pPr>
      <w:r>
        <w:rPr>
          <w:rFonts w:ascii="Aptos" w:hAnsi="Aptos" w:eastAsia="Aptos"/>
          <w:b w:val="0"/>
          <w:color w:val="1F2937"/>
          <w:sz w:val="20"/>
        </w:rPr>
        <w:t>The operating concern is review survivability. A governance framework may appear current because meetings occur, dashboards update, attestations are renewed, and exceptions are closed. Those signals are insufficient where they do not test assumptions, compare practice to documented scope, evaluate AI-mediated workflow changes, or determine whether recurring conditions have become part of the operating model. Meaningful governance maintenance is consequence-aware, evidence-linked, and capable of detecting drift before ordinary reporting fails.</w:t>
      </w:r>
    </w:p>
    <w:p>
      <w:pPr>
        <w:keepNext w:val="1"/>
        <w:spacing w:before="180" w:after="100"/>
      </w:pPr>
      <w:r>
        <w:rPr>
          <w:rFonts w:ascii="Aptos" w:hAnsi="Aptos" w:eastAsia="Aptos"/>
          <w:b/>
          <w:color w:val="17365D"/>
          <w:sz w:val="22"/>
        </w:rPr>
        <w:t>Governance Review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Question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Required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Routine 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ordinary workflow tasks, handoffs, and records are being completed.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Is the represented process still being performed as expected?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Recent activity samples, completion records, queue status, and exception notes.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alignment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controls still correspond to current workflow population and decision points.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control still govern the process it was designed to govern?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Population map, control owner confirmation, process changes, and excluded item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reliability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evidence remains complete, fresh, traceable, and tied to source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 governance assertions still be reconstructed from maintained records?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records, transformation logs, reviewer disposition, and artifact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AI-assisted routing, summarization, scoring, drafting, or recommendation remains within approved boundaries.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automation changed judgment, prioritization, visibility, or decision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record, prompts or inputs where available, model output samples, overrides, and boundary changes.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Reliance-boundary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Assesses whether internal outputs, summaries, scores, or representations are being relied upon by broader audiences.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use expanded beyond the original audience or confidence posture?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audience list, reused artifacts, representation language, and reliance limitations.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Governance-significant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Reopens the underlying governance model when consequence, authority, evidence, or dependency materially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current governance design remain institutionally defensible?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rationale, affected functions, decision owner, exposure analysis, and revised treatment.</w:t>
            </w:r>
          </w:p>
        </w:tc>
      </w:tr>
    </w:tbl>
    <w:p>
      <w:pPr>
        <w:spacing w:after="60"/>
      </w:pPr>
    </w:p>
    <w:p>
      <w:pPr>
        <w:keepNext w:val="1"/>
        <w:spacing w:before="180" w:after="100"/>
      </w:pPr>
      <w:r>
        <w:rPr>
          <w:rFonts w:ascii="Aptos" w:hAnsi="Aptos" w:eastAsia="Aptos"/>
          <w:b/>
          <w:color w:val="17365D"/>
          <w:sz w:val="22"/>
        </w:rPr>
        <w:t>Review-Versus-Reassessment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Activity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Examines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Next Step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current performance against expected workflow behavior.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Completion rates are positive but workflow scope, dependency, or consequence has changed.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Initiate reassessment of scope, authority, and evidence sufficiency.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whether governance structures are functioning as represented.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Committees meet and receive reports but cannot require remediation or boundary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unresolved authority or dependency gap to accountable oversight function.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ownership, references, dates, distribution, and administrative alignment.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changes meaning or preserves outdated assumptions.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as governance-significant revision and preserve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Ceremonial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review occurred without testing operating reality.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produces acceptance without challenge, sampling, exception analysis, or source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Replace with validation protocol tied to consequence and evidence.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Meaningful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source facts, operational samples, exception patterns, and decision traces.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Validation reveals recurring deviations beyond owner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to reassessment and require treatment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Adjusts thresholds, boundaries, controls, evidence expectations, or review cadence.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Recalibration is performed locally while institutional reliance remains broader.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Obtain authority confirmation and update representation boundary.</w:t>
            </w:r>
          </w:p>
        </w:tc>
      </w:tr>
    </w:tbl>
    <w:p>
      <w:pPr>
        <w:spacing w:after="60"/>
      </w:pPr>
    </w:p>
    <w:p>
      <w:pPr>
        <w:keepNext/>
        <w:spacing w:before="280" w:after="140"/>
      </w:pPr>
      <w:r>
        <w:rPr>
          <w:rFonts w:ascii="Aptos" w:hAnsi="Aptos" w:eastAsia="Aptos"/>
          <w:b/>
          <w:color w:val="17365D"/>
          <w:sz w:val="30"/>
        </w:rPr>
        <w:t>Reassessment Triggers and Consequence-Aware Review</w:t>
      </w:r>
    </w:p>
    <w:p>
      <w:pPr>
        <w:spacing w:after="140" w:line="259" w:lineRule="auto"/>
      </w:pPr>
      <w:r>
        <w:rPr>
          <w:rFonts w:ascii="Aptos" w:hAnsi="Aptos" w:eastAsia="Aptos"/>
          <w:b w:val="0"/>
          <w:color w:val="1F2937"/>
          <w:sz w:val="20"/>
        </w:rPr>
        <w:t>Reassessment is triggered when ordinary review can no longer reasonably confirm that the governance model remains aligned with operating reality. A trigger may arise from workflow migration, recurring exception, vendor change, new AI capability, repeated manual override, stale evidence, expanded reliance, staffing transition, or external audience use of previously internal outputs. The trigger is not limited to visible failure; governance reassessment is often most important when operations appear stable but underlying assumptions have changed.</w:t>
      </w:r>
    </w:p>
    <w:p>
      <w:pPr>
        <w:spacing w:after="140" w:line="259" w:lineRule="auto"/>
      </w:pPr>
      <w:r>
        <w:rPr>
          <w:rFonts w:ascii="Aptos" w:hAnsi="Aptos" w:eastAsia="Aptos"/>
          <w:b w:val="0"/>
          <w:color w:val="1F2937"/>
          <w:sz w:val="20"/>
        </w:rPr>
        <w:t>Reassessment-by-consequence requires review intensity to increase where the condition affects authority, exposure, confidentiality, evidence, reliance, or decision survivability. A low-volume workflow change may require governance reassessment if it alters external representation or concentrates decision consequence in automated routing. A high-volume issue may remain operational if consequence is contained and evidence remains reconstructable.</w:t>
      </w:r>
    </w:p>
    <w:p>
      <w:pPr>
        <w:keepNext w:val="1"/>
        <w:spacing w:before="180" w:after="100"/>
      </w:pPr>
      <w:r>
        <w:rPr>
          <w:rFonts w:ascii="Aptos" w:hAnsi="Aptos" w:eastAsia="Aptos"/>
          <w:b/>
          <w:color w:val="17365D"/>
          <w:sz w:val="22"/>
        </w:rPr>
        <w:t>Reassessment Trigger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Reassessment Focus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population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teams, queues, data sources, customer groups, or artifact types enter an existing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and evidence may no longer cover the material population.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map, excluded population, ownership, and sampling design.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Similar deviations close repeatedly through the same local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may have become a permanent operating model without governance recognition.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Root cause, normalized treatment, decision authority, and control redesign.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influence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begins ranking, summarizing, drafting rationale, filtering items, or triggering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sensitivity may increase without formal restricted automation classification.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boundary, human review, override record, and model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reports, summaries, dashboards, or narratives are reused by customers, executives, vendors, investors, or public channels.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Confidence boundary may exceed evidence support or review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statement, evidence freshness, and representation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degradation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are complete but detached from source system, stale, overwritten, or dependent on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may preserve documentation while losing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 provenance, retention, transformation, and reviewer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Multiple participants discuss a decision but no role owns residual exposure or final disposition.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 may be inferred from awareness, consensus, or copied communication.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authority, escalation route, rationale, and accountable owner.</w:t>
            </w:r>
          </w:p>
        </w:tc>
      </w:tr>
    </w:tbl>
    <w:p>
      <w:pPr>
        <w:spacing w:after="60"/>
      </w:pPr>
    </w:p>
    <w:p>
      <w:pPr>
        <w:keepNext w:val="1"/>
        <w:spacing w:before="180" w:after="100"/>
      </w:pPr>
      <w:r>
        <w:rPr>
          <w:rFonts w:ascii="Aptos" w:hAnsi="Aptos" w:eastAsia="Aptos"/>
          <w:b/>
          <w:color w:val="17365D"/>
          <w:sz w:val="22"/>
        </w:rPr>
        <w:t>Governance Drift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Operating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Underlying Drift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Green dashboard with repeated exceptions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Metrics remain favorable while exception closure becomes routine.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Measurement may track throughput rather than unresolved governance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closed exceptions and evaluate recurrence, consequence, and escalation history.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become formulaic</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Approvals use similar language across materially different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may be confirming process completion rather than evaluating 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rationale for selected high-consequence samples.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 changes informally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team member coordinates review without formal ownership update.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depend on undocumented institutional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ownership map and confirm authority boundaries.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becomes default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rarely override generated recommendations or classifications.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review may become ceremonial while accountability remains human.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 override rate, disagreement handling, and excluded population effects.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packages remain complete after workflow migration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continues to generate on schedule despite process redesign.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Artifacts may represent legacy process rather than current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evidence source population to active workflow state.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 accepts recurring deferrals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delays are acknowledged without treatment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fatigue may normalize exposure and suppress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pattern to reassessment with consequence and authority analysis.</w:t>
            </w:r>
          </w:p>
        </w:tc>
      </w:tr>
    </w:tbl>
    <w:p>
      <w:pPr>
        <w:spacing w:after="60"/>
      </w:pPr>
    </w:p>
    <w:p>
      <w:pPr>
        <w:keepNext/>
        <w:spacing w:before="280" w:after="140"/>
      </w:pPr>
      <w:r>
        <w:rPr>
          <w:rFonts w:ascii="Aptos" w:hAnsi="Aptos" w:eastAsia="Aptos"/>
          <w:b/>
          <w:color w:val="17365D"/>
          <w:sz w:val="30"/>
        </w:rPr>
        <w:t>Governance Maintenance and Refresh Discipline</w:t>
      </w:r>
    </w:p>
    <w:p>
      <w:pPr>
        <w:spacing w:after="140" w:line="259" w:lineRule="auto"/>
      </w:pPr>
      <w:r>
        <w:rPr>
          <w:rFonts w:ascii="Aptos" w:hAnsi="Aptos" w:eastAsia="Aptos"/>
          <w:b w:val="0"/>
          <w:color w:val="1F2937"/>
          <w:sz w:val="20"/>
        </w:rPr>
        <w:t>Governance maintenance is the controlled work of preserving institutional alignment between documentation, evidence, operational practice, authority, and reliance. It includes ownership refresh, evidence lineage confirmation, workflow scope validation, review cadence adjustment, boundary recalibration, vendor dependency update, AI-use reassessment, and supersession of outdated representations. Maintenance is not complete when a document date is updated; it is complete when the governance artifact remains explainable against current operating conditions.</w:t>
      </w:r>
    </w:p>
    <w:p>
      <w:pPr>
        <w:spacing w:after="140" w:line="259" w:lineRule="auto"/>
      </w:pPr>
      <w:r>
        <w:rPr>
          <w:rFonts w:ascii="Aptos" w:hAnsi="Aptos" w:eastAsia="Aptos"/>
          <w:b w:val="0"/>
          <w:color w:val="1F2937"/>
          <w:sz w:val="20"/>
        </w:rPr>
        <w:t>Maintenance discipline must account for asymmetry between operational change and governance change. Operations often adapt through local decisions, vendor features, staffing substitutions, and AI-enabled convenience before governance documentation is revised. A maintenance process that only refreshes text will preserve outdated assumptions. A survivable maintenance process tests whether the underlying authority, evidence, and decision routes still operate.</w:t>
      </w:r>
    </w:p>
    <w:p>
      <w:pPr>
        <w:keepNext w:val="1"/>
        <w:spacing w:before="180" w:after="100"/>
      </w:pPr>
      <w:r>
        <w:rPr>
          <w:rFonts w:ascii="Aptos" w:hAnsi="Aptos" w:eastAsia="Aptos"/>
          <w:b/>
          <w:color w:val="17365D"/>
          <w:sz w:val="22"/>
        </w:rPr>
        <w:t>Governance Maintenance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Domain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Discipline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Failure If Neglected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of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Ownership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role, backup owner, escalation route, and decision remit after organizational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Tasks continue under informal ownership while no role accepts residual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ownership map, authority confirmation, and dependency handoff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source system, artifact lineage, freshness expectation, retention path, and transformation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available but no longer supports the represented assertion.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inventory, sample reconstruction, source linkage, and limitation notes.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current process sequence, handoffs, queue logic, exception handling, and AI-enabled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continues to describe an inherited process that staff no longer perform.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map, operational sample, exception log, and change trigger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dependency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provider role, service changes, AI feature activation, downstream processing, and fallback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service becomes hidden governance infrastructure without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change record, dependency map, service limitation, and continuity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that internal and external statements remain bounded by current evidence and maturity.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confidence language continues to influence customers, executives, or partners.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inventory, audience boundary, evidence support, and freshness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boundary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approved use cases, excluded uses, review gates, overrides, and restricted workflow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expands from assistance into decision influence without governance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revision, sample outputs, reviewer disposition, and boundary update.</w:t>
            </w:r>
          </w:p>
        </w:tc>
      </w:tr>
    </w:tbl>
    <w:p>
      <w:pPr>
        <w:spacing w:after="60"/>
      </w:pPr>
    </w:p>
    <w:p>
      <w:pPr>
        <w:keepNext w:val="1"/>
        <w:spacing w:before="180" w:after="100"/>
      </w:pPr>
      <w:r>
        <w:rPr>
          <w:rFonts w:ascii="Aptos" w:hAnsi="Aptos" w:eastAsia="Aptos"/>
          <w:b/>
          <w:color w:val="17365D"/>
          <w:sz w:val="22"/>
        </w:rPr>
        <w:t>Governance Refresh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Refresh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Applies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Superficial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Scheduled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review of ownership, evidence, workflow scope, and representations.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operations with no known material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Calendar review repeats stale assumptions without sampling.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Event-triggered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governance after system migration, vendor change, staffing shift, new AI feature, or workflow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change affects control, evidence, authority, or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Change is logged administratively without testing governance consequence.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Exception-driven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Reassesses controls where recurring exceptions indicate process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patterns, deferrals, or manual workarounds appear.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remain individually closed while the structural issue persists.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Reliance-driven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Revalidates evidence and authority when outputs become used beyond originating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summaries, or status narratives reach new audiences.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expands while evidence boundary remains unchanged.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Post-incident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an operational event exposed control, escalation, evidence, or accountability weakness.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or near miss reveals governance gap.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Resolution focuses on restoration but not underlying governance adjustment.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capability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Reviews workflow consequence after model, integration, summarization, routing, or scoring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begins influencing prioritization or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Feature adoption is treated as technical configuration rather than governance change.</w:t>
            </w:r>
          </w:p>
        </w:tc>
      </w:tr>
    </w:tbl>
    <w:p>
      <w:pPr>
        <w:spacing w:after="60"/>
      </w:pPr>
    </w:p>
    <w:p>
      <w:pPr>
        <w:keepNext w:val="1"/>
        <w:spacing w:before="180" w:after="100"/>
      </w:pPr>
      <w:r>
        <w:rPr>
          <w:rFonts w:ascii="Aptos" w:hAnsi="Aptos" w:eastAsia="Aptos"/>
          <w:b/>
          <w:color w:val="17365D"/>
          <w:sz w:val="22"/>
        </w:rPr>
        <w:t>Operational Recalibration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Recalibration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Changes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Safeguard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Threshold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sampling, review, or exception thresholds are adjusted to current consequence.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low-volume but high-consequence conditions require higher review intensity.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basis, affected population, and residual exposure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Governed workflow population, excluded items, or use-case boundary is revised.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operational queue or AI-assisted process enters established governance area.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prior scope and rationale for what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 freshness, lineage, or retention expectations are revised.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systems, summaries, or exports no longer support earlier evidence model.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 source-to-assertion mapping and review limitation.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approval authority, or escalation route is updated.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redesign moves decisions to different roles or committees.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decision authority rather than merely awareness or participation.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timing changes based on volatility, consequence, and exception pattern.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Monthly review is insufficient for rapidly changing AI-assisted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cadence to operational change rate and evidence stability.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Public, executive, customer, or partner-facing statements are narrowed, refreshed, or retired.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Confidence language no longer matches current evidence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audience, claim, evidence basis, and limitation.</w:t>
            </w:r>
          </w:p>
        </w:tc>
      </w:tr>
    </w:tbl>
    <w:p>
      <w:pPr>
        <w:spacing w:after="60"/>
      </w:pPr>
    </w:p>
    <w:p>
      <w:pPr>
        <w:keepNext/>
        <w:spacing w:before="280" w:after="140"/>
      </w:pPr>
      <w:r>
        <w:rPr>
          <w:rFonts w:ascii="Aptos" w:hAnsi="Aptos" w:eastAsia="Aptos"/>
          <w:b/>
          <w:color w:val="17365D"/>
          <w:sz w:val="30"/>
        </w:rPr>
        <w:t>Review Integrity, Authority, and Survivability</w:t>
      </w:r>
    </w:p>
    <w:p>
      <w:pPr>
        <w:spacing w:after="140" w:line="259" w:lineRule="auto"/>
      </w:pPr>
      <w:r>
        <w:rPr>
          <w:rFonts w:ascii="Aptos" w:hAnsi="Aptos" w:eastAsia="Aptos"/>
          <w:b w:val="0"/>
          <w:color w:val="1F2937"/>
          <w:sz w:val="20"/>
        </w:rPr>
        <w:t>Review integrity depends on the ability of a review activity to challenge assumptions, identify mismatches, and produce accountable decisions. Frequency does not establish integrity. A daily review can become ceremonial if reviewers evaluate status color rather than source conditions. A quarterly review can remain meaningful if it tests operating reality, validates evidence, challenges recurrence, and routes unresolved exposure to the appropriate authority.</w:t>
      </w:r>
    </w:p>
    <w:p>
      <w:pPr>
        <w:spacing w:after="140" w:line="259" w:lineRule="auto"/>
      </w:pPr>
      <w:r>
        <w:rPr>
          <w:rFonts w:ascii="Aptos" w:hAnsi="Aptos" w:eastAsia="Aptos"/>
          <w:b w:val="0"/>
          <w:color w:val="1F2937"/>
          <w:sz w:val="20"/>
        </w:rPr>
        <w:t>Review survivability requires the review record to remain useful after the immediate participants are unavailable. The record must identify what was reviewed, what evidence was used, what assumptions were tested, what exceptions were observed, what decision was made, what exposure remained, and who had authority to accept or escalate the condition. Without this structure, later governance reconstruction depends on personal recollection rather than institutional evidence.</w:t>
      </w:r>
    </w:p>
    <w:p>
      <w:pPr>
        <w:keepNext w:val="1"/>
        <w:spacing w:before="180" w:after="100"/>
      </w:pPr>
      <w:r>
        <w:rPr>
          <w:rFonts w:ascii="Aptos" w:hAnsi="Aptos" w:eastAsia="Aptos"/>
          <w:b/>
          <w:color w:val="17365D"/>
          <w:sz w:val="22"/>
        </w:rPr>
        <w:t>Review Integrity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Integrity Element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Meaningful Review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Ceremonial 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Correction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tests selected records against source systems and operational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accepts exported summary or dashboard status without lineage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sampling protocol and source-reference requirement.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challenge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deviations are evaluated for structural meaning.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are closed individually because each appears manageable.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 exceptions and route pattern to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confirmation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verifies that decision owner can approve, reject, escalate, or accept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Senior visibility is treated as approval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accountable authority and escalation limit.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testing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asks whether workflow scope, population, AI influence, and dependency remain current.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confirms last period's assumptions by default.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assumption register and change-trigger evaluation.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determines whether evidence supports the governance assertion being made.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existence is treated as evidence adequacy.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sufficiency basis and unsupported areas.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Disposition clarity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outcome distinguishes acceptance, deferral, escalation, rejection, and further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indicate discussion occurred but not what was decided.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 decision disposition categories linked to owner and rationale.</w:t>
            </w:r>
          </w:p>
        </w:tc>
      </w:tr>
    </w:tbl>
    <w:p>
      <w:pPr>
        <w:spacing w:after="60"/>
      </w:pPr>
    </w:p>
    <w:p>
      <w:pPr>
        <w:keepNext w:val="1"/>
        <w:spacing w:before="180" w:after="100"/>
      </w:pPr>
      <w:r>
        <w:rPr>
          <w:rFonts w:ascii="Aptos" w:hAnsi="Aptos" w:eastAsia="Aptos"/>
          <w:b/>
          <w:color w:val="17365D"/>
          <w:sz w:val="22"/>
        </w:rPr>
        <w:t>Review Authority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Authority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Permitted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If Misread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work completion, record quality, and immediate workflow accuracy.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independently accept institutional exposure or external reliance.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closure becomes mistaken for governance approval.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control design, evidence expectations, and operating consistency.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not have authority to approve exceptions that change institutional posture.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adjustment masks unresolved exposure.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provenance, sufficiency, freshness, and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decide business treatment unless assigned decision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availability becomes confused with decision legitimacy.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AI-assisted workflow boundary, output influence, and override discipline.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approve high-consequence outcome solely because AI use is acceptable.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Tool governance is mistaken for decision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issue requires reassessment, escalation, or revised framework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Depends on operational facts supplied by process owners and evidence stewards.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occurs without source understanding or implementation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Accepts material exposure, resource tradeoff, or institutional posture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Should enter before operational options are exhausted.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visibility arrives after informal containment has narrowed choices.</w:t>
            </w:r>
          </w:p>
        </w:tc>
      </w:tr>
    </w:tbl>
    <w:p>
      <w:pPr>
        <w:spacing w:after="60"/>
      </w:pPr>
    </w:p>
    <w:p>
      <w:pPr>
        <w:keepNext w:val="1"/>
        <w:spacing w:before="180" w:after="100"/>
      </w:pPr>
      <w:r>
        <w:rPr>
          <w:rFonts w:ascii="Aptos" w:hAnsi="Aptos" w:eastAsia="Aptos"/>
          <w:b/>
          <w:color w:val="17365D"/>
          <w:sz w:val="22"/>
        </w:rPr>
        <w:t>Review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Record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scope clarity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reviewed workflow, population, time period, and excluded areas are explicit.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reconstruction cannot determine what the review covered.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statement, population basis, and exclusions.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basis retention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used in review remains linked to source systems or controlled exports.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Screenshots or summaries survive after source context is lost.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reference, export date, transformation notes,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basis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authority, role, and disposition are visible.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record shows attendance but not who accepted the result.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Named reviewer, authority basis, decision type, and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Open, deferred, closed, and recurring exceptions are distinguished.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Closure count hides unresolved pattern or repeated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register, recurrence assessment, and treatment decision.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influence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recommendation, score, generated text, or routing effect is preserved where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decision appears human but prior AI influence cannot be reconstructed.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sample, reviewer action, override or adoption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identifies what remains unresolved and who owns continued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appears complete because review cycle ended.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owner, deadline, escalation path, and limitation.</w:t>
            </w:r>
          </w:p>
        </w:tc>
      </w:tr>
    </w:tbl>
    <w:p>
      <w:pPr>
        <w:spacing w:after="60"/>
      </w:pPr>
    </w:p>
    <w:p>
      <w:pPr>
        <w:keepNext/>
        <w:spacing w:before="280" w:after="140"/>
      </w:pPr>
      <w:r>
        <w:rPr>
          <w:rFonts w:ascii="Aptos" w:hAnsi="Aptos" w:eastAsia="Aptos"/>
          <w:b/>
          <w:color w:val="17365D"/>
          <w:sz w:val="30"/>
        </w:rPr>
        <w:t>Operational Alignment and Maintenance Escalation</w:t>
      </w:r>
    </w:p>
    <w:p>
      <w:pPr>
        <w:spacing w:after="140" w:line="259" w:lineRule="auto"/>
      </w:pPr>
      <w:r>
        <w:rPr>
          <w:rFonts w:ascii="Aptos" w:hAnsi="Aptos" w:eastAsia="Aptos"/>
          <w:b w:val="0"/>
          <w:color w:val="1F2937"/>
          <w:sz w:val="20"/>
        </w:rPr>
        <w:t>Operational alignment review compares the governed representation to actual work. It asks whether the documented process, practiced process, reviewed process, evidence process, AI-assisted process, vendor-supported process, and externally represented process remain materially aligned. Misalignment does not always require immediate redesign; however, it must not remain invisible. The governance decision is whether the variance is acceptable, temporary, compensated, escalated, or requires formal recalibration.</w:t>
      </w:r>
    </w:p>
    <w:p>
      <w:pPr>
        <w:spacing w:after="140" w:line="259" w:lineRule="auto"/>
      </w:pPr>
      <w:r>
        <w:rPr>
          <w:rFonts w:ascii="Aptos" w:hAnsi="Aptos" w:eastAsia="Aptos"/>
          <w:b w:val="0"/>
          <w:color w:val="1F2937"/>
          <w:sz w:val="20"/>
        </w:rPr>
        <w:t>Maintenance escalation is appropriate when governance maintenance identifies a condition that exceeds ordinary ownership or administrative update. Examples include recurring exceptions with institutional consequence, AI-assisted automation expanding into restricted workflows, evidence packages no longer representing active process, vendor features changing workflow treatment, or review quality deteriorating into approval without source validation. Escalation must preserve accountability continuity rather than transferring uncertainty to a committee without decision authority.</w:t>
      </w:r>
    </w:p>
    <w:p>
      <w:pPr>
        <w:keepNext w:val="1"/>
        <w:spacing w:before="180" w:after="100"/>
      </w:pPr>
      <w:r>
        <w:rPr>
          <w:rFonts w:ascii="Aptos" w:hAnsi="Aptos" w:eastAsia="Aptos"/>
          <w:b/>
          <w:color w:val="17365D"/>
          <w:sz w:val="22"/>
        </w:rPr>
        <w:t>Operational Alignment Reassessment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Alignment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Test Performed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Possible Finding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Documented-to-practiced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process map to current workflow samples and staff handoffs.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route around slow approval through informal queue.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process or restore governance route with accountable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Reviewed-to-actual population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reviewed population against all relevant records, queues, and exceptions.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High-sensitivity cases are excluded from routine review because of separate handling.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population boundary and separate consequence-based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Evidence-to-assertion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selected assertions back to source evidence and reviewer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supports statement but source record contains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assertion and preserve limitation in evidence package.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AI-use-to-approved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current AI output use against approved use-case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rationale is reused in closure decisions beyond drafting permission.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Reclassify use case and impose review gate.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service-to-governance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service changes and reliance on provider-generated outputs.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feature quietly controls queue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dependency review, fallback path,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Representation-to-operational condition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external statements, dashboards, and executive narratives to current control state.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Status remains positive while remediation is deferred repeatedly.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representation and escalate residual exposure.</w:t>
            </w:r>
          </w:p>
        </w:tc>
      </w:tr>
    </w:tbl>
    <w:p>
      <w:pPr>
        <w:spacing w:after="60"/>
      </w:pPr>
    </w:p>
    <w:p>
      <w:pPr>
        <w:keepNext w:val="1"/>
        <w:spacing w:before="180" w:after="100"/>
      </w:pPr>
      <w:r>
        <w:rPr>
          <w:rFonts w:ascii="Aptos" w:hAnsi="Aptos" w:eastAsia="Aptos"/>
          <w:b/>
          <w:color w:val="17365D"/>
          <w:sz w:val="22"/>
        </w:rPr>
        <w:t>Maintenance Escalation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Local Maintenance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Disposition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in sensitive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indicates process design or authority boundary may be wrong.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 with control owner and affected operational lead.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 workflow, adjust control, or formally accept residual exposure.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no longer maps to active process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cannot restore source-to-assertion integrity.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 and governance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Rebuild evidence model or qualify affected assertion.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feature alters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owner may see efficiency gain without recognizing decision influence.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 process owner, and governance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use-case boundary, sampling, override path, and escalation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team cannot define confidence boundary for broader audience.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authority and evidence steward.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statement, add limitation, or require approval for continued reliance.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collapses into approval habit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Participants may be too close to workflow to recognize review capture.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or challenge function.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Reset review protocol, require source sampling, and track challenge outcomes.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ownership becomes informal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Continuity depends on individual memory rather than institutional role.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or governance operating forum.</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owner, backup, authority remit, and transition record.</w:t>
            </w:r>
          </w:p>
        </w:tc>
      </w:tr>
    </w:tbl>
    <w:p>
      <w:pPr>
        <w:spacing w:after="60"/>
      </w:pPr>
    </w:p>
    <w:p>
      <w:pPr>
        <w:keepNext w:val="1"/>
        <w:spacing w:before="180" w:after="100"/>
      </w:pPr>
      <w:r>
        <w:rPr>
          <w:rFonts w:ascii="Aptos" w:hAnsi="Aptos" w:eastAsia="Aptos"/>
          <w:b/>
          <w:color w:val="17365D"/>
          <w:sz w:val="22"/>
        </w:rPr>
        <w:t>Governance Continuity Maintenance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Application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If Missing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key assumptions about scope, evidence, reliance, vendor dependency, and AI-use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during refresh to test whether assumptions remain valid.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repeats inherited beliefs without recognizing operational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log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governance-significant updates, administrative updates, and deferred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Separates wording cleanup from material 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Revision history cannot explain why governance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Captures trigger, evidence, decision owner, alternatives, and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reconstruction after turnover or external inquiry.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remembers outcome but not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Boundary map</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workflow, information, automation, audience, and authority boundaries sit.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to detect drift into restricted processing or external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and outputs cross boundaries through convenience.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pattern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Aggregates recurring exceptions across cycles and owners.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Shows when repeated closure becomes structural signal.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normalization remains invisible in period reporting.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owner rotation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continuity when individuals leave, roles change, or vendors shift.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new owner to prior assumptions, open items, and authority limits.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becomes dependent on people who remember how governance works.</w:t>
            </w:r>
          </w:p>
        </w:tc>
      </w:tr>
    </w:tbl>
    <w:p>
      <w:pPr>
        <w:spacing w:after="60"/>
      </w:pPr>
    </w:p>
    <w:p>
      <w:pPr>
        <w:keepNext/>
        <w:spacing w:before="280" w:after="140"/>
      </w:pPr>
      <w:r>
        <w:rPr>
          <w:rFonts w:ascii="Aptos" w:hAnsi="Aptos" w:eastAsia="Aptos"/>
          <w:b/>
          <w:color w:val="17365D"/>
          <w:sz w:val="30"/>
        </w:rPr>
        <w:t>AI-Assisted Governance Review and Reassessment Distortion</w:t>
      </w:r>
    </w:p>
    <w:p>
      <w:pPr>
        <w:spacing w:after="140" w:line="259" w:lineRule="auto"/>
      </w:pPr>
      <w:r>
        <w:rPr>
          <w:rFonts w:ascii="Aptos" w:hAnsi="Aptos" w:eastAsia="Aptos"/>
          <w:b w:val="0"/>
          <w:color w:val="1F2937"/>
          <w:sz w:val="20"/>
        </w:rPr>
        <w:t>AI-assisted systems can improve review coverage by summarizing records, identifying anomalies, comparing status across workflows, preparing evidence narratives, and highlighting exception patterns. The same capabilities can distort review by compressing unresolved conditions, smoothing inconsistency, normalizing recurring exceptions, and presenting stale governance as coherent current posture. The risk is not only inaccurate output; it is institutional overconfidence produced by generated review artifacts.</w:t>
      </w:r>
    </w:p>
    <w:p>
      <w:pPr>
        <w:spacing w:after="140" w:line="259" w:lineRule="auto"/>
      </w:pPr>
      <w:r>
        <w:rPr>
          <w:rFonts w:ascii="Aptos" w:hAnsi="Aptos" w:eastAsia="Aptos"/>
          <w:b w:val="0"/>
          <w:color w:val="1F2937"/>
          <w:sz w:val="20"/>
        </w:rPr>
        <w:t>Generated summaries may reduce complex review conditions into clean disposition language before accountable reviewers evaluate source facts. Dashboards may make stale governance appear current when feeds continue to update but evidence scope has drifted. Automated scoring may increase review frequency while decreasing challenge quality. Governance maintenance must therefore remain evidence-linked and consequence-aware even when AI systems assist review preparation, prioritization, or synthesis.</w:t>
      </w:r>
    </w:p>
    <w:p>
      <w:pPr>
        <w:keepNext w:val="1"/>
        <w:spacing w:before="180" w:after="100"/>
      </w:pPr>
      <w:r>
        <w:rPr>
          <w:rFonts w:ascii="Aptos" w:hAnsi="Aptos" w:eastAsia="Aptos"/>
          <w:b/>
          <w:color w:val="17365D"/>
          <w:sz w:val="22"/>
        </w:rPr>
        <w:t>AI-Assisted Review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AI-Assisted Review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Distortion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review summary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Accelerates preparation of review narratives and executive materials.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Caveats, unresolved items, and disagreement may be compressed into clean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limitation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exception grouping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recurring issues across queues or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Grouping logic may hide material outliers or consequence-sensitive cases.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low-frequency and excluded categories.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synthesis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Combines multiple indicators into concise oversight 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Single status field may conceal stale data, missing population, or unsupported confidence.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status to evidence freshness and scope validation.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AI-assisted scoring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Prioritizes review work by predicted risk, volume, or urgency.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Reliance-sensitive low-volume conditions may be deprioritized.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flags and manual escalation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corrective action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Drafts closure notes or remediation plans.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Rationale may become polished without reflecting actual owner judgment.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owner-authored acceptance or explicit adoption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cadence recommendation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Suggests review frequency based on activity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metrics may reduce cadence where assumptions are deteriorating.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Include change velocity, AI use, and reliance expansion in cadence decision.</w:t>
            </w:r>
          </w:p>
        </w:tc>
      </w:tr>
    </w:tbl>
    <w:p>
      <w:pPr>
        <w:spacing w:after="60"/>
      </w:pPr>
    </w:p>
    <w:p>
      <w:pPr>
        <w:keepNext w:val="1"/>
        <w:spacing w:before="180" w:after="100"/>
      </w:pPr>
      <w:r>
        <w:rPr>
          <w:rFonts w:ascii="Aptos" w:hAnsi="Aptos" w:eastAsia="Aptos"/>
          <w:b/>
          <w:color w:val="17365D"/>
          <w:sz w:val="22"/>
        </w:rPr>
        <w:t>AI-Mediated Review Distortion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to Governance Maintenance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 reviewer modification of generated notes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may be accepting AI narrative as final reasoning.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basis becomes generated rather than accountable.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final notes against source evidence and reviewer comments.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recurrence described as trend stability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may normalize repeated conditions as expected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 is suppressed by familiar reporting language.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recurrence threshold and consequence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status stays current while source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activity may be mistaken for governance freshness.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appears maintained while evidence population has drifted.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dashboard inputs to current workflow map.</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scoring lowers visibility of disputed items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may prioritize measurable severity over institutional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Low-score items with external reliance remain untreated.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Audit low-priority samples for reliance-sensitive features.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omit decision alternatives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preparation may favor a single recommended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becomes decision confirmation instead of decision evaluation.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alternatives and rejection rationale for sensitive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review frequency increases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volume may rise without deeper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review activity creates false confidence in maintenance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 source validation, challenge rate, and reassessment outcomes.</w:t>
            </w:r>
          </w:p>
        </w:tc>
      </w:tr>
    </w:tbl>
    <w:p>
      <w:pPr>
        <w:spacing w:after="60"/>
      </w:pPr>
    </w:p>
    <w:p>
      <w:pPr>
        <w:keepNext w:val="1"/>
        <w:spacing w:before="180" w:after="100"/>
      </w:pPr>
      <w:r>
        <w:rPr>
          <w:rFonts w:ascii="Aptos" w:hAnsi="Aptos" w:eastAsia="Aptos"/>
          <w:b/>
          <w:color w:val="17365D"/>
          <w:sz w:val="22"/>
        </w:rPr>
        <w:t>Maintenance-Driven Governance Continuity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Value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Assumptions are revalidated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tests whether prior scope, evidence, dependency, and authority assumptions remain true.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governance from surviving as inherited belief.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changes are absorbed without governance recognition.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is evidenced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show what was sampled, challenged, accepted, deferred, or escalated.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Distinguishes meaningful review from meeting occurrence.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frequency becomes substitute for effectiveness.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triggers are active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exceptions, AI changes, vendor changes, and reliance expansion initiate review beyond routine cadence.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Keeps governance responsive to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Triggers are acknowledged but repeatedly closed locally.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retains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decisions, superseded boundaries, and rationale remain available for reconstruction.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continuity after turnover, audit, or operational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knows current state but cannot explain how it arrived there.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linked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updates preserve source, transformation, reviewer disposition, and limitation.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confidence support and accountability.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artifacts detach from evidence support.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remains explicit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and maintenance decisions identify who can approve, reject, escalate, or accept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participation from becoming implied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create appearance of accountability.</w:t>
            </w:r>
          </w:p>
        </w:tc>
      </w:tr>
    </w:tbl>
    <w:p>
      <w:pPr>
        <w:spacing w:after="60"/>
      </w:pPr>
    </w:p>
    <w:p>
      <w:pPr>
        <w:keepNext/>
        <w:spacing w:before="280" w:after="140"/>
      </w:pPr>
      <w:r>
        <w:rPr>
          <w:rFonts w:ascii="Aptos" w:hAnsi="Aptos" w:eastAsia="Aptos"/>
          <w:b/>
          <w:color w:val="17365D"/>
          <w:sz w:val="30"/>
        </w:rPr>
        <w:t>Operational Review and Governance Maintenance Operating Standard</w:t>
      </w:r>
    </w:p>
    <w:p>
      <w:pPr>
        <w:spacing w:after="140" w:line="259" w:lineRule="auto"/>
      </w:pPr>
      <w:r>
        <w:rPr>
          <w:rFonts w:ascii="Aptos" w:hAnsi="Aptos" w:eastAsia="Aptos"/>
          <w:b w:val="0"/>
          <w:color w:val="1F2937"/>
          <w:sz w:val="20"/>
        </w:rPr>
        <w:t>Operational review under this framework shall be maintained as a consequence-aware governance activity that tests operating reality, evidence reliability, authority alignment, workflow scope, automation influence, vendor dependency, exception recurrence, and reliance boundary. Organizations implementing this framework shall distinguish ordinary review, governance review, reassessment, maintenance activity, recalibration, and ceremonial confirmation.</w:t>
      </w:r>
    </w:p>
    <w:p>
      <w:pPr>
        <w:spacing w:after="140" w:line="259" w:lineRule="auto"/>
      </w:pPr>
      <w:r>
        <w:rPr>
          <w:rFonts w:ascii="Aptos" w:hAnsi="Aptos" w:eastAsia="Aptos"/>
          <w:b w:val="0"/>
          <w:color w:val="1F2937"/>
          <w:sz w:val="20"/>
        </w:rPr>
        <w:t>Governance reassessment shall occur when review identifies material change in workflow population, decision consequence, evidence sufficiency, AI-assisted processing, vendor dependency, external reliance, recurring exception pattern, or accountable authority. Reassessment shall evaluate whether the existing governance design remains appropriate, whether controls and evidence still correspond to current operations, and whether residual exposure requires escalation, recalibration, acceptance, or redesign.</w:t>
      </w:r>
    </w:p>
    <w:p>
      <w:pPr>
        <w:spacing w:after="140" w:line="259" w:lineRule="auto"/>
      </w:pPr>
      <w:r>
        <w:rPr>
          <w:rFonts w:ascii="Aptos" w:hAnsi="Aptos" w:eastAsia="Aptos"/>
          <w:b w:val="0"/>
          <w:color w:val="1F2937"/>
          <w:sz w:val="20"/>
        </w:rPr>
        <w:t>Governance maintenance shall preserve continuity between documented governance and operational reality. Maintenance shall not be limited to document refresh or administrative revision. It shall include ownership confirmation, assumption revalidation, evidence lineage preservation, review cadence calibration, automation boundary maintenance, representation review, exception pattern analysis, and controlled record of governance-significant changes.</w:t>
      </w:r>
    </w:p>
    <w:p>
      <w:pPr>
        <w:spacing w:after="140" w:line="259" w:lineRule="auto"/>
      </w:pPr>
      <w:r>
        <w:rPr>
          <w:rFonts w:ascii="Aptos" w:hAnsi="Aptos" w:eastAsia="Aptos"/>
          <w:b w:val="0"/>
          <w:color w:val="1F2937"/>
          <w:sz w:val="20"/>
        </w:rPr>
        <w:t>AI-assisted review, generated summaries, synthesized dashboards, automated scoring, and review-preparation tools shall remain subordinate to accountable governance judgment. Where AI systems assist review or reassessment, the organization shall preserve source basis, generated output, reviewer disposition, material limitations, excluded population, and any decision or escalation affected by automated interpretation.</w:t>
      </w:r>
    </w:p>
    <w:p>
      <w:pPr>
        <w:spacing w:after="140" w:line="259" w:lineRule="auto"/>
      </w:pPr>
      <w:r>
        <w:rPr>
          <w:rFonts w:ascii="Aptos" w:hAnsi="Aptos" w:eastAsia="Aptos"/>
          <w:b w:val="0"/>
          <w:color w:val="1F2937"/>
          <w:sz w:val="20"/>
        </w:rPr>
        <w:t>The operating standard for this section is survivable governance maintenance. A governance framework is not maintained because reviews occur on schedule, records are updated, or dashboards remain current. Governance is maintained when assumptions are tested, drift is detectable, evidence remains reconstructable, decision authority is explicit, recurring exceptions are reassessed, and operating reality can be reconciled to the governance model after the review cycle has passed.</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B6B84"/>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