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Rule="auto" w:line="240"/>
      </w:pPr>
      <w:r>
        <w:rPr>
          <w:rFonts w:ascii="Aptos Display" w:hAnsi="Aptos Display" w:eastAsia="Aptos Display"/>
          <w:b/>
          <w:color w:val="18365C"/>
          <w:sz w:val="38"/>
        </w:rPr>
        <w:t>2.4 Third-Party Processing, Vendor Dependencies, and AI Service Exposure</w:t>
      </w:r>
    </w:p>
    <w:p>
      <w:pPr>
        <w:spacing w:before="0" w:after="240" w:lineRule="auto" w:line="240"/>
      </w:pPr>
      <w:r>
        <w:rPr>
          <w:rFonts w:ascii="Aptos" w:hAnsi="Aptos" w:eastAsia="Aptos"/>
          <w:b/>
          <w:color w:val="64738A"/>
          <w:sz w:val="17"/>
        </w:rPr>
        <w:t>Paladin Compliance Governance Binder | Section II</w:t>
      </w:r>
    </w:p>
    <w:p>
      <w:pPr>
        <w:spacing w:before="0" w:after="100" w:lineRule="auto" w:line="252"/>
      </w:pPr>
      <w:r>
        <w:rPr>
          <w:rFonts w:ascii="Aptos" w:hAnsi="Aptos" w:eastAsia="Aptos"/>
          <w:b w:val="0"/>
          <w:color w:val="2B3646"/>
          <w:sz w:val="18"/>
        </w:rPr>
        <w:t>This section establishes governance expectations for information, workflow activity, operational context, and AI-assisted processing that move through third-party systems, vendor services, managed platforms, outsourced workflows, or externally hosted operational infrastructure. The governance concern is not limited to vendor access. It includes dependency formation, outsourced visibility, downstream propagation, derived exposure, externalized workflow handling, and the degree to which institutional accountability remains visible after operational work crosses an organizational boundary.</w:t>
      </w:r>
    </w:p>
    <w:p>
      <w:pPr>
        <w:spacing w:before="0" w:after="100" w:lineRule="auto" w:line="252"/>
      </w:pPr>
      <w:r>
        <w:rPr>
          <w:rFonts w:ascii="Aptos" w:hAnsi="Aptos" w:eastAsia="Aptos"/>
          <w:b w:val="0"/>
          <w:color w:val="2B3646"/>
          <w:sz w:val="18"/>
        </w:rPr>
        <w:t>Third-party processing changes the shape of governance because the organization remains accountable for the operational consequence of work that may be executed, stored, summarized, routed, enriched, or represented outside direct institutional control. A vendor may provide a routine productivity function while also becoming a repository of sensitive operational context, a source of executive reporting, a participant in customer response, or an unrecognized component of the evidence chain.</w:t>
      </w:r>
    </w:p>
    <w:p>
      <w:pPr>
        <w:spacing w:before="0" w:after="160" w:lineRule="auto" w:line="252"/>
      </w:pPr>
      <w:r>
        <w:rPr>
          <w:rFonts w:ascii="Aptos" w:hAnsi="Aptos" w:eastAsia="Aptos"/>
          <w:b w:val="0"/>
          <w:color w:val="2B3646"/>
          <w:sz w:val="18"/>
        </w:rPr>
        <w:t>AI-enabled vendor services increase this exposure because they often transform information rather than merely host it. Classification, summarization, recommendation, search, drafting, and analytics features create derived artifacts that can carry sensitivity, influence decisions, or shape external communications. The governance model must therefore distinguish the service purchased, the workflow supported, the information visible to the provider, the outputs generated by the service, and the dependency created by operational adoption.</w:t>
      </w:r>
    </w:p>
    <w:p>
      <w:pPr>
        <w:spacing w:before="160" w:after="40" w:lineRule="auto" w:line="240"/>
        <w:keepNext/>
      </w:pPr>
      <w:r>
        <w:rPr>
          <w:rFonts w:ascii="Aptos" w:hAnsi="Aptos" w:eastAsia="Aptos"/>
          <w:b/>
          <w:color w:val="18365C"/>
          <w:sz w:val="19"/>
        </w:rPr>
        <w:t>Third-Party Processing Models</w:t>
      </w:r>
    </w:p>
    <w:tbl>
      <w:tblPr>
        <w:tblStyle w:val="TableGrid"/>
        <w:tblW w:type="pct" w:w="5000"/>
        <w:jc w:val="center"/>
        <w:tblLayout w:type="fixed"/>
        <w:tblLook w:firstColumn="1" w:firstRow="1" w:lastColumn="0" w:lastRow="0" w:noHBand="0" w:noVBand="1" w:val="04A0"/>
      </w:tblPr>
      <w:tblGrid>
        <w:gridCol w:w="1803"/>
        <w:gridCol w:w="2871"/>
        <w:gridCol w:w="3004"/>
        <w:gridCol w:w="2604"/>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Processing Model</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Role</w:t>
            </w:r>
          </w:p>
        </w:tc>
        <w:tc>
          <w:tcPr>
            <w:tcW w:type="dxa" w:w="3004"/>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Exposure Created</w:t>
            </w:r>
          </w:p>
        </w:tc>
        <w:tc>
          <w:tcPr>
            <w:tcW w:type="dxa" w:w="2604"/>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Handling Expectation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Hosted system of record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Maintains primary workflow records, case history, evidence fields, or operating transactions.</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environment becomes the authoritative location for operational context and historical reconstruction.</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Define source authority, exportability, retention, access review, and evidence retrieval expectations.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Managed workflow service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Performs operational steps such as triage, response preparation, review support, or issue coordination.</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Institutional process knowledge and unresolved conditions become visible outside the organization.</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Preserve task boundaries, approval authority, and internal decision ownership.</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External analytics platform</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Aggregates records, trends, exceptions, usage signals, or performance metrics.</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Patterns may reveal sensitive operational concentration even when individual records are minimized.</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 population notes, threshold rules, aggregation limits, and audience review.</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AI-assisted vendor tool</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Summarizes, classifies, recommends, drafts, prioritizes, or routes operational artifacts.</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Generated outputs may influence decisions while obscuring source limitations or provider processing path.</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Treat AI-derived artifacts as governed records when relied upon or distributed.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Integrated collaboration layer</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Connects vendors, internal teams, executives, customers, and project participants.</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Conversation history, attachments, labels, and metadata create broad visibility beyond the original workflow.</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Segment channels by purpose, control membership, and review cross-workflow reuse.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Downstream subprocess provider</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Supports the primary vendor through hosting, model services, support operations, data enrichment, or specialized processing.</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Operational context may move through dependency chains the organization does not observe directly.</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Require dependency disclosure sufficient for governance review and continuity planning.</w:t>
            </w:r>
          </w:p>
        </w:tc>
      </w:tr>
    </w:tbl>
    <w:p>
      <w:pPr>
        <w:spacing w:before="0" w:after="80" w:lineRule="auto" w:line="240"/>
      </w:pPr>
    </w:p>
    <w:p>
      <w:pPr>
        <w:spacing w:before="160" w:after="40" w:lineRule="auto" w:line="240"/>
        <w:keepNext/>
      </w:pPr>
      <w:r>
        <w:rPr>
          <w:rFonts w:ascii="Aptos" w:hAnsi="Aptos" w:eastAsia="Aptos"/>
          <w:b/>
          <w:color w:val="18365C"/>
          <w:sz w:val="19"/>
        </w:rPr>
        <w:t>Vendor Dependency Classifications</w:t>
      </w:r>
    </w:p>
    <w:tbl>
      <w:tblPr>
        <w:tblStyle w:val="TableGrid"/>
        <w:tblW w:type="pct" w:w="5000"/>
        <w:jc w:val="center"/>
        <w:tblLayout w:type="fixed"/>
        <w:tblLook w:firstColumn="1" w:firstRow="1" w:lastColumn="0" w:lastRow="0" w:noHBand="0" w:noVBand="1" w:val="04A0"/>
      </w:tblPr>
      <w:tblGrid>
        <w:gridCol w:w="1803"/>
        <w:gridCol w:w="2737"/>
        <w:gridCol w:w="3004"/>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Dependency Type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How It Forms</w:t>
            </w:r>
          </w:p>
        </w:tc>
        <w:tc>
          <w:tcPr>
            <w:tcW w:type="dxa" w:w="3004"/>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Consequence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Fragility Condition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Convenience dependency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Teams adopt a vendor function because it reduces manual coordination, formatting, or tracking.</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Work becomes faster but later workflows assume the vendor output is authoritative.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Bypass emerges when the approved workflow is slower than the vendor shortcut.</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Evidence dependency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Control records, audit packets, approvals, timestamps, or exports are retained primarily in a vendor system.</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Governance reconstruction depends on vendor availability, field stability, and export fidelity.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 platform change removes fields that prior evidence packages relied upon.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Decision-support dependency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dashboards, AI recommendations, rankings, or analytics influence prioritization and escalation.</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Operational teams may follow externally generated signals without explicit accountability review.</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Users cannot explain why a vendor-ranked item was treated as higher risk.</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Coordination dependency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External platforms become the working surface for internal and vendor participants.</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Task ownership, status, and informal commitments reside in shared operational spaces.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 vendor account change disrupts issue tracking or hides unresolved work.</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Continuity dependency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The organization cannot operate a critical workflow for a material period without vendor availability.</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Outages, contract transition, provider restructuring, or migration delay affect institutional service continuity.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Business continuity planning does not include practical alternate handling paths.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Confidence dependency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External reporting, customer statements, or executive narratives rely on vendor-produced status or metrics.</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Institutional confidence becomes tied to provider claims and reporting design.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metrics are repeated externally without internal validation of scope and freshness.</w:t>
            </w:r>
          </w:p>
        </w:tc>
      </w:tr>
    </w:tbl>
    <w:p>
      <w:pPr>
        <w:spacing w:before="0" w:after="80" w:lineRule="auto" w:line="240"/>
      </w:pPr>
    </w:p>
    <w:p>
      <w:pPr>
        <w:spacing w:before="160" w:after="40" w:lineRule="auto" w:line="240"/>
        <w:keepNext/>
      </w:pPr>
      <w:r>
        <w:rPr>
          <w:rFonts w:ascii="Aptos" w:hAnsi="Aptos" w:eastAsia="Aptos"/>
          <w:b/>
          <w:color w:val="18365C"/>
          <w:sz w:val="19"/>
        </w:rPr>
        <w:t>External Processing Exposure Pathways</w:t>
      </w:r>
    </w:p>
    <w:tbl>
      <w:tblPr>
        <w:tblStyle w:val="TableGrid"/>
        <w:tblW w:type="pct" w:w="5000"/>
        <w:jc w:val="center"/>
        <w:tblLayout w:type="fixed"/>
        <w:tblLook w:firstColumn="1" w:firstRow="1" w:lastColumn="0" w:lastRow="0" w:noHBand="0" w:noVBand="1" w:val="04A0"/>
      </w:tblPr>
      <w:tblGrid>
        <w:gridCol w:w="1669"/>
        <w:gridCol w:w="2938"/>
        <w:gridCol w:w="2938"/>
        <w:gridCol w:w="2737"/>
      </w:tblGrid>
      <w:tr>
        <w:trPr>
          <w:tblHeader w:val="true"/>
          <w:cantSplit/>
        </w:trPr>
        <w:tc>
          <w:tcPr>
            <w:tcW w:type="dxa" w:w="1669"/>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Pathway</w:t>
            </w:r>
          </w:p>
        </w:tc>
        <w:tc>
          <w:tcPr>
            <w:tcW w:type="dxa" w:w="2938"/>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Information Movement</w:t>
            </w:r>
          </w:p>
        </w:tc>
        <w:tc>
          <w:tcPr>
            <w:tcW w:type="dxa" w:w="2938"/>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Concern</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Containment Mechanism</w:t>
            </w:r>
          </w:p>
        </w:tc>
      </w:tr>
      <w:tr>
        <w:trPr>
          <w:cantSplit/>
        </w:trPr>
        <w:tc>
          <w:tcPr>
            <w:tcW w:type="dxa" w:w="1669"/>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Direct submission</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Users upload files, tickets, transcripts, evidence packets, or issue descriptions into a vendor platform.</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Input may exceed the minimum context needed for the task.</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 approved intake fields, redacted extracts, and purpose-specific upload rules.</w:t>
            </w:r>
          </w:p>
        </w:tc>
      </w:tr>
      <w:tr>
        <w:trPr>
          <w:cantSplit/>
        </w:trPr>
        <w:tc>
          <w:tcPr>
            <w:tcW w:type="dxa" w:w="1669"/>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System integration</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Records move through APIs, workflow connectors, synchronization tools, or embedded applications.</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Integrated movement may expand population, metadata, or retention without ordinary user awareness.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Maintain integration scope maps and monitor field-level data flows.</w:t>
            </w:r>
          </w:p>
        </w:tc>
      </w:tr>
      <w:tr>
        <w:trPr>
          <w:cantSplit/>
        </w:trPr>
        <w:tc>
          <w:tcPr>
            <w:tcW w:type="dxa" w:w="1669"/>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support access</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Provider personnel view logs, records, configurations, or examples during troubleshooting.</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Operational urgency may expose sensitive context outside normal review channels.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Require support-purpose boundaries, access windows, and post-event visibility review.</w:t>
            </w:r>
          </w:p>
        </w:tc>
      </w:tr>
      <w:tr>
        <w:trPr>
          <w:cantSplit/>
        </w:trPr>
        <w:tc>
          <w:tcPr>
            <w:tcW w:type="dxa" w:w="1669"/>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Collaborative workspace</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Internal and external users exchange drafts, labels, attachments, status notes, and decisions.</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Informal discussion can become discoverable operational history without evidence discipline.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Segment workspaces by workflow purpose and close access after task completion.</w:t>
            </w:r>
          </w:p>
        </w:tc>
      </w:tr>
      <w:tr>
        <w:trPr>
          <w:cantSplit/>
        </w:trPr>
        <w:tc>
          <w:tcPr>
            <w:tcW w:type="dxa" w:w="1669"/>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 transformation</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Source records are converted into summaries, classifications, rankings, generated narratives, or suggested actions.</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Derived artifacts may carry sensitivity while appearing less restricted than source material.</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Label AI-derived outputs and preserve source linkage, reviewer, and limitation notes.</w:t>
            </w:r>
          </w:p>
        </w:tc>
      </w:tr>
      <w:tr>
        <w:trPr>
          <w:cantSplit/>
        </w:trPr>
        <w:tc>
          <w:tcPr>
            <w:tcW w:type="dxa" w:w="1669"/>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Downstream processing</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 vendor uses subcontracted hosting, model services, analytics, support, or enrichment functions.</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Institutional context may propagate beyond the known provider relationship.</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Review downstream function categories and require escalation for material processing changes.</w:t>
            </w:r>
          </w:p>
        </w:tc>
      </w:tr>
    </w:tbl>
    <w:p>
      <w:pPr>
        <w:spacing w:before="0" w:after="80" w:lineRule="auto" w:line="240"/>
      </w:pPr>
    </w:p>
    <w:p>
      <w:pPr>
        <w:spacing w:before="160" w:after="40" w:lineRule="auto" w:line="240"/>
        <w:keepNext/>
      </w:pPr>
      <w:r>
        <w:rPr>
          <w:rFonts w:ascii="Aptos" w:hAnsi="Aptos" w:eastAsia="Aptos"/>
          <w:b/>
          <w:color w:val="18365C"/>
          <w:sz w:val="19"/>
        </w:rPr>
        <w:t>AI Service Exposure Models</w:t>
      </w:r>
    </w:p>
    <w:tbl>
      <w:tblPr>
        <w:tblStyle w:val="TableGrid"/>
        <w:tblW w:type="pct" w:w="5000"/>
        <w:jc w:val="center"/>
        <w:tblLayout w:type="fixed"/>
        <w:tblLook w:firstColumn="1" w:firstRow="1" w:lastColumn="0" w:lastRow="0" w:noHBand="0" w:noVBand="1" w:val="04A0"/>
      </w:tblPr>
      <w:tblGrid>
        <w:gridCol w:w="1803"/>
        <w:gridCol w:w="2737"/>
        <w:gridCol w:w="3004"/>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AI Service Model</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Use</w:t>
            </w:r>
          </w:p>
        </w:tc>
        <w:tc>
          <w:tcPr>
            <w:tcW w:type="dxa" w:w="3004"/>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Exposure Behavior</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Boundary</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Embedded AI feature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 capability appears inside an existing vendor system used for ordinary workflow activity.</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Users may activate summarization, drafting, or classification without recognizing a changed processing posture.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Feature enablement requires review of data population, output use, and retention behavior.</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Standalone AI workspace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Users paste, upload, or connect workflow materials into a separate AI environment.</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Context is removed from the original workflow boundary and may lose source controls.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Restrict use to approved purposes, approved content classes, and reviewed outputs.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Vendor-managed model layer</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The provider uses external or internal model services to power platform features.</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Processing chain becomes less visible than the user interface suggests.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Require sufficient dependency transparency to assess exposure, continuity, and output reliance.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AI-enabled support service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Provider personnel use AI tools to summarize issues, draft responses, or troubleshoot customer cases.</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Institutional information may enter tools outside the customer organization's direct configuration.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Define support processing limitations and require notice for material AI-assisted handling.</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Automated recommendation engine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tool prioritizes tasks, flags anomalies, suggests actions, or routes work.</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Governance thresholds can shift through ranking logic without formal decision review.</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Document decision reliance, override process, and escalation criteria for recommendations.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Generated external narrative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 drafts customer, partner, investor, or public-facing language based on operational records.</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Generated statements may imply confidence, remediation status, or institutional posture beyond evidence.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Route through authority review, evidence support check, and audience limitation control.</w:t>
            </w:r>
          </w:p>
        </w:tc>
      </w:tr>
    </w:tbl>
    <w:p>
      <w:pPr>
        <w:spacing w:before="0" w:after="80" w:lineRule="auto" w:line="240"/>
      </w:pPr>
    </w:p>
    <w:p>
      <w:pPr>
        <w:spacing w:before="280" w:after="120" w:lineRule="auto" w:line="240"/>
        <w:keepNext/>
      </w:pPr>
      <w:r>
        <w:rPr>
          <w:rFonts w:ascii="Aptos Display" w:hAnsi="Aptos Display" w:eastAsia="Aptos Display"/>
          <w:b/>
          <w:color w:val="18365C"/>
          <w:sz w:val="28"/>
        </w:rPr>
        <w:t>Vendor Visibility, Dependency Formation, and Governance Boundaries</w:t>
      </w:r>
    </w:p>
    <w:p>
      <w:pPr>
        <w:spacing w:before="0" w:after="100" w:lineRule="auto" w:line="252"/>
      </w:pPr>
      <w:r>
        <w:rPr>
          <w:rFonts w:ascii="Aptos" w:hAnsi="Aptos" w:eastAsia="Aptos"/>
          <w:b w:val="0"/>
          <w:color w:val="2B3646"/>
          <w:sz w:val="18"/>
        </w:rPr>
        <w:t>Vendor exposure often expands through ordinary operational adoption rather than deliberate governance redesign. A tool first used for ticket management may later hold remediation history, customer commitments, escalation notes, exception handling, vendor status representations, and evidence exports. The institution may continue describing the tool as a workflow utility while the tool has become a dependency-bearing governance surface.</w:t>
      </w:r>
    </w:p>
    <w:p>
      <w:pPr>
        <w:spacing w:before="0" w:after="160" w:lineRule="auto" w:line="252"/>
      </w:pPr>
      <w:r>
        <w:rPr>
          <w:rFonts w:ascii="Aptos" w:hAnsi="Aptos" w:eastAsia="Aptos"/>
          <w:b w:val="0"/>
          <w:color w:val="2B3646"/>
          <w:sz w:val="18"/>
        </w:rPr>
        <w:t>The governance model therefore requires a practical distinction between vendor access, vendor dependency, outsourced processing, external operational visibility, managed service reliance, AI-enabled vendor processing, externalized governance handling, third-party propagation, dependency-driven exposure, and vendor-mediated operational risk. These categories do not carry equal consequence. A vendor that briefly receives a redacted support extract creates a different exposure condition than a provider that hosts the primary workflow, shapes prioritization, and generates reports used in executive oversight.</w:t>
      </w:r>
    </w:p>
    <w:p>
      <w:pPr>
        <w:spacing w:before="160" w:after="40" w:lineRule="auto" w:line="240"/>
        <w:keepNext/>
      </w:pPr>
      <w:r>
        <w:rPr>
          <w:rFonts w:ascii="Aptos" w:hAnsi="Aptos" w:eastAsia="Aptos"/>
          <w:b/>
          <w:color w:val="18365C"/>
          <w:sz w:val="19"/>
        </w:rPr>
        <w:t>Third-Party Visibility Boundaries</w:t>
      </w:r>
    </w:p>
    <w:tbl>
      <w:tblPr>
        <w:tblStyle w:val="TableGrid"/>
        <w:tblW w:type="pct" w:w="5000"/>
        <w:jc w:val="center"/>
        <w:tblLayout w:type="fixed"/>
        <w:tblLook w:firstColumn="1" w:firstRow="1" w:lastColumn="0" w:lastRow="0" w:noHBand="0" w:noVBand="1" w:val="04A0"/>
      </w:tblPr>
      <w:tblGrid>
        <w:gridCol w:w="1803"/>
        <w:gridCol w:w="2938"/>
        <w:gridCol w:w="2871"/>
        <w:gridCol w:w="2671"/>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Boundary Type</w:t>
            </w:r>
          </w:p>
        </w:tc>
        <w:tc>
          <w:tcPr>
            <w:tcW w:type="dxa" w:w="2938"/>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What Must Remain Distinct</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Example</w:t>
            </w:r>
          </w:p>
        </w:tc>
        <w:tc>
          <w:tcPr>
            <w:tcW w:type="dxa" w:w="26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Boundary Failure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Customer-facing boundary</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Internal rationale, unresolved dependencies, draft positions, and approved external statements.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response platform supports customer communication from reviewed facts.</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Internal issue notes are copied into customer-ready response language.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Operational-to-governance boundary</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Task execution records and governance evidence, assertions, escalations, or confidence language.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ticket status supports workflow tracking but does not become control evidence without validation.</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 vendor completion field is used as evidence of obligation satisfaction.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Provider-support boundary</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Troubleshooting access and ordinary production visibility.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Provider support views a limited log extract to resolve a configuration issue.</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Full workflow history is exposed because targeted support data was not prepared.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AI-output boundary</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Generated draft, recommendation, or summary and accountable institutional decision.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 summary helps triage a vendor issue but does not approve residual exposure.</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Generated recommendation is treated as the decision rationale.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Downstream-provider boundary</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Primary vendor obligation and subprocess provider visibility.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 vendor uses a hosted AI model service for classification.</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Operational context moves into downstream processing not covered by workflow assumptions.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External-reporting boundary</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metrics and institutionally reviewed representations.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Dashboard figures are reconciled before executive or customer use.</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Provider status is repeated externally without scope, date, or limitation review.</w:t>
            </w:r>
          </w:p>
        </w:tc>
      </w:tr>
    </w:tbl>
    <w:p>
      <w:pPr>
        <w:spacing w:before="0" w:after="80" w:lineRule="auto" w:line="240"/>
      </w:pPr>
    </w:p>
    <w:p>
      <w:pPr>
        <w:spacing w:before="160" w:after="40" w:lineRule="auto" w:line="240"/>
        <w:keepNext/>
      </w:pPr>
      <w:r>
        <w:rPr>
          <w:rFonts w:ascii="Aptos" w:hAnsi="Aptos" w:eastAsia="Aptos"/>
          <w:b/>
          <w:color w:val="18365C"/>
          <w:sz w:val="19"/>
        </w:rPr>
        <w:t>Vendor-Assisted Workflow Classifications</w:t>
      </w:r>
    </w:p>
    <w:tbl>
      <w:tblPr>
        <w:tblStyle w:val="TableGrid"/>
        <w:tblW w:type="pct" w:w="5000"/>
        <w:jc w:val="center"/>
        <w:tblLayout w:type="fixed"/>
        <w:tblLook w:firstColumn="1" w:firstRow="1" w:lastColumn="0" w:lastRow="0" w:noHBand="0" w:noVBand="1" w:val="04A0"/>
      </w:tblPr>
      <w:tblGrid>
        <w:gridCol w:w="1803"/>
        <w:gridCol w:w="2737"/>
        <w:gridCol w:w="3004"/>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Workflow Class</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Vendor Role</w:t>
            </w:r>
          </w:p>
        </w:tc>
        <w:tc>
          <w:tcPr>
            <w:tcW w:type="dxa" w:w="3004"/>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Information Sensitivity</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Expectation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Administrative enablement</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Provides scheduling, formatting, intake, routing, or collaboration support.</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Usually low to moderate unless metadata reveals sensitive operational conditions.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Limit broad visibility and review aggregation or external reuse.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Operational processing</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Performs a defined step in service delivery, issue handling, remediation, or evidence assembly.</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Material when the vendor receives source facts, customer context, or unresolved internal conditions.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Define ownership, handoff criteria, evidence status, and exception escalation.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Governance support</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Provides reporting, control workflow tooling, review tracking, or audit packet generation.</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High when outputs influence oversight, confidence, or institutional representation.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Preserve source linkage, validation responsibility, and accountability for use.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 transformation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Transforms source materials into summaries, classifications, recommendations, drafts, or analytics.</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Context and derived outputs may both be sensitive, especially when reliance follows.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Treat transformed artifacts as governed and restrict reuse across audiences.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Managed expert service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Applies provider expertise to interpret events, advise response, or prepare analysis.</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Provider sees operational uncertainty and institutional decision posture.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Separate advice, institutional decision, and evidence of authority.</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External dependency hub</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Hosts workflows connecting internal users, vendors, customers, and downstream providers.</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Sensitivity depends on audience mixture, retained history, and integration breadth.</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Segment workspaces, review access, and document dependency continuity plans.</w:t>
            </w:r>
          </w:p>
        </w:tc>
      </w:tr>
    </w:tbl>
    <w:p>
      <w:pPr>
        <w:spacing w:before="0" w:after="80" w:lineRule="auto" w:line="240"/>
      </w:pPr>
    </w:p>
    <w:p>
      <w:pPr>
        <w:spacing w:before="160" w:after="40" w:lineRule="auto" w:line="240"/>
        <w:keepNext/>
      </w:pPr>
      <w:r>
        <w:rPr>
          <w:rFonts w:ascii="Aptos" w:hAnsi="Aptos" w:eastAsia="Aptos"/>
          <w:b/>
          <w:color w:val="18365C"/>
          <w:sz w:val="19"/>
        </w:rPr>
        <w:t>Outsourced Operational Visibility Patterns</w:t>
      </w:r>
    </w:p>
    <w:tbl>
      <w:tblPr>
        <w:tblStyle w:val="TableGrid"/>
        <w:tblW w:type="pct" w:w="5000"/>
        <w:jc w:val="center"/>
        <w:tblLayout w:type="fixed"/>
        <w:tblLook w:firstColumn="1" w:firstRow="1" w:lastColumn="0" w:lastRow="0" w:noHBand="0" w:noVBand="1" w:val="04A0"/>
      </w:tblPr>
      <w:tblGrid>
        <w:gridCol w:w="1936"/>
        <w:gridCol w:w="2871"/>
        <w:gridCol w:w="2871"/>
        <w:gridCol w:w="2604"/>
      </w:tblGrid>
      <w:tr>
        <w:trPr>
          <w:tblHeader w:val="true"/>
          <w:cantSplit/>
        </w:trPr>
        <w:tc>
          <w:tcPr>
            <w:tcW w:type="dxa" w:w="1936"/>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Visibility Pattern</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How It Appears Operationally</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Exposure Consequence</w:t>
            </w:r>
          </w:p>
        </w:tc>
        <w:tc>
          <w:tcPr>
            <w:tcW w:type="dxa" w:w="2604"/>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Response</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Visible execution, hidden dependency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performs obvious work but the organization overlooks the provider's role in evidence, reporting, or reconstruction.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Loss of vendor access creates governance disruption larger than expected.</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Map vendor role by workflow consequence, not contract label alone.</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Low-content tool, high-metadata exposure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The service processes limited record text but captures users, timing, status, labels, severity, or routing.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Metadata reveals backlog, escalation pressure, customer sensitivity, or governance posture.</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Review telemetry and reporting populations as sensitive operational artifacts.</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Routine support, broad context transfer</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Provider asks for examples, screenshots, exports, or logs during ordinary troubleshooting.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Sensitive institutional facts are exposed through convenience rather than approved processing.</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Prepare support-safe extracts and record access purpose.</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Shared workspace persistence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External participants remain in channels, folders, projects, or boards after task completion.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Historical context remains visible beyond the original operational need.</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Close membership, archive purpose-bound spaces, and review retained artifacts.</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Dashboard reliance without validation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Provider status indicators are used in governance forums or customer updates.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The institution inherits reporting assumptions it did not test.</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Confirm data scope, freshness, calculation logic, and exception handling before reliance.</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configuration as policy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Platform settings determine workflow routing, approval paths, visibility, or escalation timing.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Technical settings quietly become governance rules.</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Treat material configuration changes as governance-significant updates.</w:t>
            </w:r>
          </w:p>
        </w:tc>
      </w:tr>
    </w:tbl>
    <w:p>
      <w:pPr>
        <w:spacing w:before="0" w:after="80" w:lineRule="auto" w:line="240"/>
      </w:pPr>
    </w:p>
    <w:p>
      <w:pPr>
        <w:spacing w:before="160" w:after="40" w:lineRule="auto" w:line="240"/>
        <w:keepNext/>
      </w:pPr>
      <w:r>
        <w:rPr>
          <w:rFonts w:ascii="Aptos" w:hAnsi="Aptos" w:eastAsia="Aptos"/>
          <w:b/>
          <w:color w:val="18365C"/>
          <w:sz w:val="19"/>
        </w:rPr>
        <w:t>External Workflow Reliance Models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Reliance Model</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Institutional Dependence</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Failure Condition</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Continuity Consideration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Substitutable support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assists routine work that can be performed internally or by an alternate tool with limited delay.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Operational inconvenience becomes exposure only when teams bypass approved handling.</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Maintain simple fallback procedures and content export ability.</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Workflow-critical platform</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Core queue, case, or evidence activity depends on the vendor system operating correctly.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System outage or access failure interrupts service, review, or evidence continuity.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Define alternate intake, manual status control, and restoration validation.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Expert-dependent service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Provider judgment informs issue interpretation, remediation options, or governance response.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Turnover, scope change, or delayed advice weakens institutional decision quality.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Preserve internal review authority and rationale records.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Data-reconstruction reliance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Historical reconstruction depends on vendor logs, exports, timestamps, or retained configuration.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retention, field changes, or contract transition prevents later evidence retrieval.</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Define export cadence, archival format, and minimum reconstruction fields.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AI-prioritization reliance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AI ranking affects which items are reviewed, escalated, or deferred.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Model or ruleset changes shift operational attention without governance recalibration.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Monitor recommendation drift and require accountable override logic.</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External representation reliance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Customer, partner, or executive statements rely on vendor-provided status, calculations, or summaries.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Provider output is repeated beyond its evidence support or intended scope.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Require representation review, limitation language, and source validation.</w:t>
            </w:r>
          </w:p>
        </w:tc>
      </w:tr>
    </w:tbl>
    <w:p>
      <w:pPr>
        <w:spacing w:before="0" w:after="80" w:lineRule="auto" w:line="240"/>
      </w:pPr>
    </w:p>
    <w:p>
      <w:pPr>
        <w:spacing w:before="280" w:after="120" w:lineRule="auto" w:line="240"/>
        <w:keepNext/>
      </w:pPr>
      <w:r>
        <w:rPr>
          <w:rFonts w:ascii="Aptos Display" w:hAnsi="Aptos Display" w:eastAsia="Aptos Display"/>
          <w:b/>
          <w:color w:val="18365C"/>
          <w:sz w:val="28"/>
        </w:rPr>
        <w:t>AI-Enabled Vendor Services and Derived Exposure</w:t>
      </w:r>
    </w:p>
    <w:p>
      <w:pPr>
        <w:spacing w:before="0" w:after="100" w:lineRule="auto" w:line="252"/>
      </w:pPr>
      <w:r>
        <w:rPr>
          <w:rFonts w:ascii="Aptos" w:hAnsi="Aptos" w:eastAsia="Aptos"/>
          <w:b w:val="0"/>
          <w:color w:val="2B3646"/>
          <w:sz w:val="18"/>
        </w:rPr>
        <w:t>AI-enabled vendors often create new visibility layers because the service does not merely receive information; it interprets, compresses, labels, ranks, predicts, drafts, or produces reusable artifacts. The exposure is therefore both upstream and downstream. Upstream exposure concerns the information supplied to the vendor and its processing chain. Downstream exposure concerns the generated output, the reliance placed on it, the audience that receives it, and the institutional assumptions it carries forward.</w:t>
      </w:r>
    </w:p>
    <w:p>
      <w:pPr>
        <w:spacing w:before="0" w:after="100" w:lineRule="auto" w:line="252"/>
      </w:pPr>
      <w:r>
        <w:rPr>
          <w:rFonts w:ascii="Aptos" w:hAnsi="Aptos" w:eastAsia="Aptos"/>
          <w:b w:val="0"/>
          <w:color w:val="2B3646"/>
          <w:sz w:val="18"/>
        </w:rPr>
        <w:t>Generated outputs can expose institutional posture even when source details are not visible. A draft customer response may reveal remediation pressure. A summarized issue trend may disclose concentration of operational weakness. A recommendation may indicate internal prioritization. A classification label may disclose customer sensitivity, contractual pressure, or governance concern. The organization must treat derived artifacts as potential exposure carriers rather than assuming generated content is automatically less sensitive than source content.</w:t>
      </w:r>
    </w:p>
    <w:p>
      <w:pPr>
        <w:spacing w:before="0" w:after="160" w:lineRule="auto" w:line="252"/>
      </w:pPr>
      <w:r>
        <w:rPr>
          <w:rFonts w:ascii="Aptos" w:hAnsi="Aptos" w:eastAsia="Aptos"/>
          <w:b w:val="0"/>
          <w:color w:val="2B3646"/>
          <w:sz w:val="18"/>
        </w:rPr>
        <w:t>External AI processing changes workflow assumptions because users may not see the boundary crossing. AI features embedded in a familiar vendor platform can alter confidentiality posture without altering the visible interface. Downstream vendors may inherit transformed operational context through model services, analytics providers, support tools, or hosted processing environments. Governance visibility weakens when dependency chains become opaque and when generated outputs circulate without source, method, limitation, or reviewer context.</w:t>
      </w:r>
    </w:p>
    <w:p>
      <w:pPr>
        <w:spacing w:before="160" w:after="40" w:lineRule="auto" w:line="240"/>
        <w:keepNext/>
      </w:pPr>
      <w:r>
        <w:rPr>
          <w:rFonts w:ascii="Aptos" w:hAnsi="Aptos" w:eastAsia="Aptos"/>
          <w:b/>
          <w:color w:val="18365C"/>
          <w:sz w:val="19"/>
        </w:rPr>
        <w:t>AI-Enabled Vendor Service Distinctions</w:t>
      </w:r>
    </w:p>
    <w:tbl>
      <w:tblPr>
        <w:tblStyle w:val="TableGrid"/>
        <w:tblW w:type="pct" w:w="5000"/>
        <w:jc w:val="center"/>
        <w:tblLayout w:type="fixed"/>
        <w:tblLook w:firstColumn="1" w:firstRow="1" w:lastColumn="0" w:lastRow="0" w:noHBand="0" w:noVBand="1" w:val="04A0"/>
      </w:tblPr>
      <w:tblGrid>
        <w:gridCol w:w="1803"/>
        <w:gridCol w:w="2871"/>
        <w:gridCol w:w="2938"/>
        <w:gridCol w:w="2671"/>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AI Capability</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Vendor Processing Role</w:t>
            </w:r>
          </w:p>
        </w:tc>
        <w:tc>
          <w:tcPr>
            <w:tcW w:type="dxa" w:w="2938"/>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Derived Exposure</w:t>
            </w:r>
          </w:p>
        </w:tc>
        <w:tc>
          <w:tcPr>
            <w:tcW w:type="dxa" w:w="26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Required Governance Control</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Summarization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Compresses cases, transcripts, evidence packets, or operational history into shorter narratives.</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Caveats, uncertainty, exclusions, and source boundaries may disappear.</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Require source linkage, limitation notes, reviewer approval, and audience marking.</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Classification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Applies labels, severity, topic, urgency, customer type, or governance category.</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Labels can reveal sensitive posture and drive routing decisions.</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Validate category logic and restrict visibility of sensitive labels.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Recommendation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Suggests next action, priority, response, remediation, or escalation.</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Users may follow the recommendation without independent authority review.</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Record accept, modify, or reject decisions and responsible owner.</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Drafting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Creates customer messages, vendor instructions, internal updates, or executive language.</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Generated language may overstate certainty or expose unresolved internal conditions.</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Route externally relied-upon drafts through evidence and authority review.</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Search and retrieval</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Finds relevant records, examples, policies, or prior cases across repositories.</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Search surfaces information outside the user's workflow need.</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Limit indexed populations and apply purpose-bound retrieval controls.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Analytics and trend detection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Aggregates events, exceptions, issue patterns, response times, or control performance.</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Small populations, rare issues, or concentration patterns may identify sensitive conditions.</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Use aggregation thresholds, exclusion notes, and reporting audience boundaries.</w:t>
            </w:r>
          </w:p>
        </w:tc>
      </w:tr>
    </w:tbl>
    <w:p>
      <w:pPr>
        <w:spacing w:before="0" w:after="80" w:lineRule="auto" w:line="240"/>
      </w:pPr>
    </w:p>
    <w:p>
      <w:r>
        <w:br w:type="page"/>
      </w:r>
    </w:p>
    <w:p>
      <w:pPr>
        <w:spacing w:before="160" w:after="40" w:lineRule="auto" w:line="240"/>
        <w:keepNext/>
      </w:pPr>
      <w:r>
        <w:rPr>
          <w:rFonts w:ascii="Aptos" w:hAnsi="Aptos" w:eastAsia="Aptos"/>
          <w:b/>
          <w:color w:val="18365C"/>
          <w:sz w:val="19"/>
        </w:rPr>
        <w:t>AI-Enabled Service Propagation Risks</w:t>
      </w:r>
    </w:p>
    <w:tbl>
      <w:tblPr>
        <w:tblStyle w:val="TableGrid"/>
        <w:tblW w:type="pct" w:w="5000"/>
        <w:jc w:val="center"/>
        <w:tblLayout w:type="fixed"/>
        <w:tblLook w:firstColumn="1" w:firstRow="1" w:lastColumn="0" w:lastRow="0" w:noHBand="0" w:noVBand="1" w:val="04A0"/>
      </w:tblPr>
      <w:tblGrid>
        <w:gridCol w:w="1936"/>
        <w:gridCol w:w="2871"/>
        <w:gridCol w:w="2871"/>
        <w:gridCol w:w="2604"/>
      </w:tblGrid>
      <w:tr>
        <w:trPr>
          <w:tblHeader w:val="true"/>
          <w:cantSplit/>
        </w:trPr>
        <w:tc>
          <w:tcPr>
            <w:tcW w:type="dxa" w:w="1936"/>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Propagation Pattern</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Mechanism</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Institutional Exposure</w:t>
            </w:r>
          </w:p>
        </w:tc>
        <w:tc>
          <w:tcPr>
            <w:tcW w:type="dxa" w:w="2604"/>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Boundary Control</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Prompt-to-template migration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 one-time AI prompt becomes reusable operating language or customer response text.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Context-specific assumptions become standardized without review.</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Govern templates by version, source basis, and approved audience.</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Summary reuse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Vendor-generated summary is copied into governance reports, customer updates, or executive decks.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Limitations and source population exclusions no longer travel with the summary.</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Attach source, date, population, and reviewer metadata to summaries.</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Classification carry-forward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 labels remain attached to cases after facts or severity change.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Stale labels influence later routing, priority, or external posture.</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Apply label freshness review and close-loop correction process.</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Recommendation anchoring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Initial vendor AI recommendation frames later human analysis.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Accountable reviewers may under-challenge the suggested path.</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Require rationale for reliance and explicit owner decision.</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External narrative smoothing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 draft converts unresolved operational facts into polished confidence language.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The organization appears more certain than its evidence supports.</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Review generated language against evidence sufficiency and confidence boundary.</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Downstream derivative retention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Generated artifacts persist in vendor, subprocess, analytics, or collaboration systems.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Derived records remain available after the workflow purpose ends.</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Define disposition rules for outputs, extracts, and intermediate artifacts.</w:t>
            </w:r>
          </w:p>
        </w:tc>
      </w:tr>
    </w:tbl>
    <w:p>
      <w:pPr>
        <w:spacing w:before="0" w:after="80" w:lineRule="auto" w:line="240"/>
      </w:pPr>
    </w:p>
    <w:p>
      <w:pPr>
        <w:spacing w:before="160" w:after="40" w:lineRule="auto" w:line="240"/>
        <w:keepNext/>
      </w:pPr>
      <w:r>
        <w:rPr>
          <w:rFonts w:ascii="Aptos" w:hAnsi="Aptos" w:eastAsia="Aptos"/>
          <w:b/>
          <w:color w:val="18365C"/>
          <w:sz w:val="19"/>
        </w:rPr>
        <w:t>Downstream Propagation Risks</w:t>
      </w:r>
    </w:p>
    <w:tbl>
      <w:tblPr>
        <w:tblStyle w:val="TableGrid"/>
        <w:tblW w:type="pct" w:w="5000"/>
        <w:jc w:val="center"/>
        <w:tblLayout w:type="fixed"/>
        <w:tblLook w:firstColumn="1" w:firstRow="1" w:lastColumn="0" w:lastRow="0" w:noHBand="0" w:noVBand="1" w:val="04A0"/>
      </w:tblPr>
      <w:tblGrid>
        <w:gridCol w:w="1803"/>
        <w:gridCol w:w="2871"/>
        <w:gridCol w:w="2938"/>
        <w:gridCol w:w="2671"/>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Downstream Path</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What Travels</w:t>
            </w:r>
          </w:p>
        </w:tc>
        <w:tc>
          <w:tcPr>
            <w:tcW w:type="dxa" w:w="2938"/>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Why It Matters</w:t>
            </w:r>
          </w:p>
        </w:tc>
        <w:tc>
          <w:tcPr>
            <w:tcW w:type="dxa" w:w="26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Review Focus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Hosting provider chain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Records, attachments, metadata, configuration, and access logs.</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Operational context may depend on infrastructure not visible to workflow owners.</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Availability, location category, exportability, and retention support.</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Model service layer</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Prompts, derived embeddings, generated outputs, confidence scores, or interaction telemetry.</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 processing can create secondary data forms with distinct sensitivity.</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Processing purpose, retention behavior, reuse limitation, and output handling.</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Support operations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Examples, screenshots, logs, account details, issue histories, and operational notes.</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Urgent troubleshooting can broaden exposure beyond ordinary provider access.</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Access scope, time limitation, redaction, and post-support review.</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Analytics partner</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Aggregated fields, trend metrics, exceptions, labels, and performance indicators.</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Aggregates may disclose concentration, backlog, customer sensitivity, or control weakness.</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Population boundaries, thresholds, calculation logic, and audience restriction.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Implementation contractor</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Configuration decisions, workflow maps, approval paths, migration data, and test records.</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Temporary implementation access may include structural governance information.</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Access expiration, artifact disposition, and migration evidence retention.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Integration connector</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Synced fields, workflow events, user identities, statuses, and routing signals.</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Connector behavior can silently expand visibility or preserve stale records.</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Field mapping, event triggers, error handling, and decommissioning controls.</w:t>
            </w:r>
          </w:p>
        </w:tc>
      </w:tr>
    </w:tbl>
    <w:p>
      <w:pPr>
        <w:spacing w:before="0" w:after="80" w:lineRule="auto" w:line="240"/>
      </w:pPr>
    </w:p>
    <w:p>
      <w:pPr>
        <w:spacing w:before="160" w:after="40" w:lineRule="auto" w:line="240"/>
        <w:keepNext/>
      </w:pPr>
      <w:r>
        <w:rPr>
          <w:rFonts w:ascii="Aptos" w:hAnsi="Aptos" w:eastAsia="Aptos"/>
          <w:b/>
          <w:color w:val="18365C"/>
          <w:sz w:val="19"/>
        </w:rPr>
        <w:t>Dependency Containment Structures</w:t>
      </w:r>
    </w:p>
    <w:tbl>
      <w:tblPr>
        <w:tblStyle w:val="TableGrid"/>
        <w:tblW w:type="pct" w:w="5000"/>
        <w:jc w:val="center"/>
        <w:tblLayout w:type="fixed"/>
        <w:tblLook w:firstColumn="1" w:firstRow="1" w:lastColumn="0" w:lastRow="0" w:noHBand="0" w:noVBand="1" w:val="04A0"/>
      </w:tblPr>
      <w:tblGrid>
        <w:gridCol w:w="1936"/>
        <w:gridCol w:w="2871"/>
        <w:gridCol w:w="2871"/>
        <w:gridCol w:w="2604"/>
      </w:tblGrid>
      <w:tr>
        <w:trPr>
          <w:tblHeader w:val="true"/>
          <w:cantSplit/>
        </w:trPr>
        <w:tc>
          <w:tcPr>
            <w:tcW w:type="dxa" w:w="1936"/>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Containment Structure</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Purpose</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Implementation Use</w:t>
            </w:r>
          </w:p>
        </w:tc>
        <w:tc>
          <w:tcPr>
            <w:tcW w:type="dxa" w:w="2604"/>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Failure if Absent</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role register</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Records what each provider does in operational, evidence, AI, reporting, and continuity terms.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Maps providers to workflow consequences rather than procurement categories.</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Critical governance dependencies remain hidden under ordinary vendor labels.</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Processing boundary profile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Defines content classes, users, systems, AI features, integrations, and downstream function types.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Provides a practical profile for approving workflow use and changes.</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Teams expand use without understanding processing posture.</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Approved use case catalog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Specifies which vendor functions may process which workflow populations.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Allows repeatable operational use without ad hoc review for each task.</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Users infer that platform availability equals governance approval.</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Output reliance rule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Distinguishes vendor-generated outputs used for convenience from outputs used for decisions or representations.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Triggers review when summaries, metrics, recommendations, or drafts are relied upon.</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output becomes institutional evidence without validation.</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Dependency continuity plan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Defines fallback, export, restoration, and transition expectations for material workflows.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Supports operational survival during outage, migration, contract transition, or service degradation.</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Operations continue informally while evidence and accountability break.</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Downstream change trigger</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Requires review when provider processing chain, AI feature, subprocess function, or integration behavior changes materially.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Keeps governance aligned with service evolution.</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External processing changes while internal assumptions remain static.</w:t>
            </w:r>
          </w:p>
        </w:tc>
      </w:tr>
    </w:tbl>
    <w:p>
      <w:pPr>
        <w:spacing w:before="0" w:after="80" w:lineRule="auto" w:line="240"/>
      </w:pPr>
    </w:p>
    <w:p>
      <w:pPr>
        <w:spacing w:before="160" w:after="40" w:lineRule="auto" w:line="240"/>
        <w:keepNext/>
      </w:pPr>
      <w:r>
        <w:rPr>
          <w:rFonts w:ascii="Aptos" w:hAnsi="Aptos" w:eastAsia="Aptos"/>
          <w:b/>
          <w:color w:val="18365C"/>
          <w:sz w:val="19"/>
        </w:rPr>
        <w:t>Operational Dependency Escalation Triggers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Trigger</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Reason for Escalation</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Example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Required Review</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becomes source of evidence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 provider record, dashboard, export, or timestamp is used to support obligation satisfaction.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 ticket closure field is cited in a governance review packet.</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Validate source authority, completeness, field meaning, and retention.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 feature enabled for sensitive workflows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Processing posture changes from storage or routing to transformation and derived output creation.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turns on automatic case summarization for restricted issue queues.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Review data population, model role, output status, and reviewer gate.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External output moves to customer or executive audience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Vendor-generated or vendor-supported language becomes externally relied upon.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 platform-generated remediation summary is copied into customer response.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Confirm evidence support, authority approval, limitation, and audience fit.</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Dependency outage affects governance activity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Provider availability disrupts evidence retrieval, review cadence, escalation, or reporting.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Governance committee cannot review exception history during vendor outage.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Activate continuity path and record reconstruction gap.</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Downstream provider or processing changes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Operational context may move through a different dependency chain than previously reviewed.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migrates AI processing to a new model service or analytics component.</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Assess materiality, affected workflow populations, and exposure implications.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reporting conflicts with internal knowledge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External metrics, status, or recommendations differ from operational owner understanding.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Dashboard shows green status while teams know unresolved dependencies remain.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Reconcile scope, calculation logic, exceptions, and accountability owner.</w:t>
            </w:r>
          </w:p>
        </w:tc>
      </w:tr>
    </w:tbl>
    <w:p>
      <w:pPr>
        <w:spacing w:before="0" w:after="80" w:lineRule="auto" w:line="240"/>
      </w:pPr>
    </w:p>
    <w:p>
      <w:pPr>
        <w:spacing w:before="280" w:after="120" w:lineRule="auto" w:line="240"/>
        <w:keepNext/>
      </w:pPr>
      <w:r>
        <w:rPr>
          <w:rFonts w:ascii="Aptos Display" w:hAnsi="Aptos Display" w:eastAsia="Aptos Display"/>
          <w:b/>
          <w:color w:val="18365C"/>
          <w:sz w:val="28"/>
        </w:rPr>
        <w:t>Governance Continuity Through Vendors</w:t>
      </w:r>
    </w:p>
    <w:p>
      <w:pPr>
        <w:spacing w:before="0" w:after="100" w:lineRule="auto" w:line="252"/>
      </w:pPr>
      <w:r>
        <w:rPr>
          <w:rFonts w:ascii="Aptos" w:hAnsi="Aptos" w:eastAsia="Aptos"/>
          <w:b w:val="0"/>
          <w:color w:val="2B3646"/>
          <w:sz w:val="18"/>
        </w:rPr>
        <w:t>Governance obligations persist when operations are outsourced, assisted, hosted, or transformed by third parties. The institution may delegate execution, obtain external expertise, or use provider infrastructure, but it cannot delegate the need to understand how information moves, which outputs are relied upon, who retains decision authority, how evidence will be reconstructed, and whether vendor dependency has become material to institutional survivability.</w:t>
      </w:r>
    </w:p>
    <w:p>
      <w:pPr>
        <w:spacing w:before="0" w:after="160" w:lineRule="auto" w:line="252"/>
      </w:pPr>
      <w:r>
        <w:rPr>
          <w:rFonts w:ascii="Aptos" w:hAnsi="Aptos" w:eastAsia="Aptos"/>
          <w:b w:val="0"/>
          <w:color w:val="2B3646"/>
          <w:sz w:val="18"/>
        </w:rPr>
        <w:t>Vendor governance maturity is operationally meaningful only when it connects to the organization's workflow reality. A provider may maintain a strong internal control posture while still creating governance exposure for the customer if the customer's use case is poorly segmented, if AI outputs are reused across audiences, if dashboards are treated as validated evidence, or if downstream service changes are not visible to the workflow owner. The governing question is not whether a vendor is broadly reputable, but whether the specific dependency remains bounded, explainable, reviewable, and recoverable.</w:t>
      </w:r>
    </w:p>
    <w:p>
      <w:r>
        <w:br w:type="page"/>
      </w:r>
    </w:p>
    <w:p>
      <w:pPr>
        <w:spacing w:before="160" w:after="40" w:lineRule="auto" w:line="240"/>
        <w:keepNext/>
      </w:pPr>
      <w:r>
        <w:rPr>
          <w:rFonts w:ascii="Aptos" w:hAnsi="Aptos" w:eastAsia="Aptos"/>
          <w:b/>
          <w:color w:val="18365C"/>
          <w:sz w:val="19"/>
        </w:rPr>
        <w:t>Vendor Governance Maturity Indicators</w:t>
      </w:r>
    </w:p>
    <w:tbl>
      <w:tblPr>
        <w:tblStyle w:val="TableGrid"/>
        <w:tblW w:type="pct" w:w="5000"/>
        <w:jc w:val="center"/>
        <w:tblLayout w:type="fixed"/>
        <w:tblLook w:firstColumn="1" w:firstRow="1" w:lastColumn="0" w:lastRow="0" w:noHBand="0" w:noVBand="1" w:val="04A0"/>
      </w:tblPr>
      <w:tblGrid>
        <w:gridCol w:w="1803"/>
        <w:gridCol w:w="2938"/>
        <w:gridCol w:w="2871"/>
        <w:gridCol w:w="2671"/>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Indicator</w:t>
            </w:r>
          </w:p>
        </w:tc>
        <w:tc>
          <w:tcPr>
            <w:tcW w:type="dxa" w:w="2938"/>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Mature Condition</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Immature Condition</w:t>
            </w:r>
          </w:p>
        </w:tc>
        <w:tc>
          <w:tcPr>
            <w:tcW w:type="dxa" w:w="26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Implication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Use-case specificity</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Provider use is mapped to workflow purpose, information class, AI function, and reliance condition.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is approved broadly without task or population boundaries.</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Broad approval encourages unreviewed expansion.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Processing transparency</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The organization can identify material processing functions and downstream dependency categories.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Provider architecture is treated as a black box for governance purposes.</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Exposure and continuity analysis becomes speculative.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Output discipline</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outputs are labeled by source, status, reviewer, limitation, and permitted audience.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Summaries, rankings, and dashboard values circulate without context.</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Derived artifacts become false evidence or overconfident representations.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Change responsiveness</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Material feature, integration, AI, retention, and subprocess changes trigger reassessment.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Service evolution is discovered only after operational reliance has formed.</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Governance assumptions age silently.</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Continuity readiness</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Exports, fallback procedures, access recovery, and reconstruction fields are tested for material workflows.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Continuity planning assumes the vendor will remain available.</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Outage or migration creates evidence and coordination gaps.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Accountability preservation</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Institutional owners remain responsible for reliance, approval, and external representation.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status or advice is treated as the decision itself.</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Ownership becomes displaced through external authority appearance.</w:t>
            </w:r>
          </w:p>
        </w:tc>
      </w:tr>
    </w:tbl>
    <w:p>
      <w:pPr>
        <w:spacing w:before="0" w:after="80" w:lineRule="auto" w:line="240"/>
      </w:pPr>
    </w:p>
    <w:p>
      <w:pPr>
        <w:spacing w:before="160" w:after="40" w:lineRule="auto" w:line="240"/>
        <w:keepNext/>
      </w:pPr>
      <w:r>
        <w:rPr>
          <w:rFonts w:ascii="Aptos" w:hAnsi="Aptos" w:eastAsia="Aptos"/>
          <w:b/>
          <w:color w:val="18365C"/>
          <w:sz w:val="19"/>
        </w:rPr>
        <w:t>Third-Party Handling Expectations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Handling Area</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Expected Practice</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Rationale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Common Failure Pattern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Data submission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 only the workflow information needed for the approved vendor function.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Limits unnecessary external visibility and downstream transformation.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Teams upload full histories because redacted extracts take longer.</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Access management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Align vendor, subcontractor, support, and shared workspace access with current workflow need.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Prevents historical or dormant visibility from becoming persistent exposure.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Former project participants retain access to operational spaces.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 output handling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Mark generated or transformed artifacts as derived until reviewed for source, limitation, and authority.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Preserves distinction between convenience output and governed evidence.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 summary is reused as approved narrative without review.</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Evidence retrieval</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Maintain exportable records sufficient for reconstruction, review, and reliance testing.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Governance evidence must survive platform transition or provider disruption.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Exports omit configuration, timestamps, reviewer notes, or population exclusions.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support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 targeted support materials with access duration, purpose, and closure review.</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Troubleshooting should not become uncontrolled disclosure.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Screenshots or logs expose unrelated customers, issues, or internal rationale.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External reporting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Validate vendor metrics before use in executive, customer, partner, or confidence contexts.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External reliance changes the consequence of reporting error.</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Dashboard status is repeated without calculation or freshness review.</w:t>
            </w:r>
          </w:p>
        </w:tc>
      </w:tr>
    </w:tbl>
    <w:p>
      <w:pPr>
        <w:spacing w:before="0" w:after="80" w:lineRule="auto" w:line="240"/>
      </w:pPr>
    </w:p>
    <w:p>
      <w:pPr>
        <w:spacing w:before="160" w:after="40" w:lineRule="auto" w:line="240"/>
        <w:keepNext/>
      </w:pPr>
      <w:r>
        <w:rPr>
          <w:rFonts w:ascii="Aptos" w:hAnsi="Aptos" w:eastAsia="Aptos"/>
          <w:b/>
          <w:color w:val="18365C"/>
          <w:sz w:val="19"/>
        </w:rPr>
        <w:t>Vendor-Mediated Governance Risk Patterns</w:t>
      </w:r>
    </w:p>
    <w:tbl>
      <w:tblPr>
        <w:tblStyle w:val="TableGrid"/>
        <w:tblW w:type="pct" w:w="5000"/>
        <w:jc w:val="center"/>
        <w:tblLayout w:type="fixed"/>
        <w:tblLook w:firstColumn="1" w:firstRow="1" w:lastColumn="0" w:lastRow="0" w:noHBand="0" w:noVBand="1" w:val="04A0"/>
      </w:tblPr>
      <w:tblGrid>
        <w:gridCol w:w="1936"/>
        <w:gridCol w:w="2871"/>
        <w:gridCol w:w="2871"/>
        <w:gridCol w:w="2604"/>
      </w:tblGrid>
      <w:tr>
        <w:trPr>
          <w:tblHeader w:val="true"/>
          <w:cantSplit/>
        </w:trPr>
        <w:tc>
          <w:tcPr>
            <w:tcW w:type="dxa" w:w="1936"/>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Risk Pattern</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Signal</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Exposure</w:t>
            </w:r>
          </w:p>
        </w:tc>
        <w:tc>
          <w:tcPr>
            <w:tcW w:type="dxa" w:w="2604"/>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Corrective Orientation</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becomes invisible infrastructure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Teams cannot describe the workflow without referencing a vendor platform, but governance records do not list it as material.</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Dependency is absent from continuity, evidence, and escalation planning.</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Update dependency mapping by operational consequence.</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Provider metrics become institutional truth</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Governance forums rely on dashboard values without source reconciliation.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Confidence rests on unvalidated scope and calculation assumptions.</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Separate provider reporting from institutionally validated evidence.</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 feature adoption outpaces governance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Users begin using generated summaries, classifications, or drafts because the feature is available.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Processing and output boundaries change before approval catches up.</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Require AI use profiles for material workflows.</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Support channel becomes evidence repository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Troubleshooting threads contain decisions, approvals, or operational facts not retained elsewhere.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Later reconstruction depends on informal vendor support history.</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Move material facts into controlled records and close support exposure.</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Integration drift expands population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Connector field mappings, sync rules, or automation triggers change over time.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More data moves externally than originally approved.</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Review integrations after workflow or configuration change.</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External dependency masks accountability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advice, status, or recommendation is cited instead of accountable owner decision.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Decision authority appears transferred without formal approval.</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Record institutional accept, modify, or reject decision.</w:t>
            </w:r>
          </w:p>
        </w:tc>
      </w:tr>
    </w:tbl>
    <w:p>
      <w:pPr>
        <w:spacing w:before="0" w:after="80" w:lineRule="auto" w:line="240"/>
      </w:pPr>
    </w:p>
    <w:p>
      <w:pPr>
        <w:spacing w:before="160" w:after="40" w:lineRule="auto" w:line="240"/>
        <w:keepNext/>
      </w:pPr>
      <w:r>
        <w:rPr>
          <w:rFonts w:ascii="Aptos" w:hAnsi="Aptos" w:eastAsia="Aptos"/>
          <w:b/>
          <w:color w:val="18365C"/>
          <w:sz w:val="19"/>
        </w:rPr>
        <w:t>Governance Continuity Through Vendor Change</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Change Condition</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Continuity Risk</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Evidence Risk</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Required Governance Action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migration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Workflow routing, access, field structure, and user behavior may shift during transition.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Legacy records may not retain source meaning after conversion.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Define migration mapping, archival package, and post-migration validation.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Feature retirement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 relied-upon workflow function, export, report, or AI capability becomes unavailable.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Historical comparison or evidence production may become incomplete.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Assess material reliance and define replacement control before retirement.</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Service degradation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Delayed response, performance issues, or support backlog affects operational cadence.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Teams may create local workarounds outside controlled evidence paths.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Escalate when workaround becomes evidence, decision, or external response support.</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Provider acquisition or restructuring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Support model, subprocess chain, AI architecture, or contract administration may change.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Accountability for historical records or future output may become unclear.</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Review dependency continuity and material service changes.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Integration redesign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Workflow triggers, synced fields, permission inheritance, or routing logic may change.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Evidence population may diverge from represented scope.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Validate mappings and preserve pre-change configuration record.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 model or logic update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Classification, recommendation, summarization, or ranking behavior may shift.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Outputs before and after change may not be comparable.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Review decision reliance and update output limitation language.</w:t>
            </w:r>
          </w:p>
        </w:tc>
      </w:tr>
    </w:tbl>
    <w:p>
      <w:pPr>
        <w:spacing w:before="0" w:after="80" w:lineRule="auto" w:line="240"/>
      </w:pPr>
    </w:p>
    <w:p>
      <w:pPr>
        <w:spacing w:before="280" w:after="120" w:lineRule="auto" w:line="240"/>
        <w:keepNext/>
      </w:pPr>
      <w:r>
        <w:rPr>
          <w:rFonts w:ascii="Aptos Display" w:hAnsi="Aptos Display" w:eastAsia="Aptos Display"/>
          <w:b/>
          <w:color w:val="18365C"/>
          <w:sz w:val="28"/>
        </w:rPr>
        <w:t>Third-Party Processing and Vendor Dependency Operating Standard</w:t>
      </w:r>
    </w:p>
    <w:p>
      <w:pPr>
        <w:spacing w:before="0" w:after="100" w:lineRule="auto" w:line="252"/>
      </w:pPr>
      <w:r>
        <w:rPr>
          <w:rFonts w:ascii="Aptos" w:hAnsi="Aptos" w:eastAsia="Aptos"/>
          <w:b w:val="0"/>
          <w:color w:val="2B3646"/>
          <w:sz w:val="18"/>
        </w:rPr>
        <w:t>Third-party processing under this framework shall be governed according to workflow consequence, information sensitivity, vendor dependency, downstream propagation, AI-enabled transformation, and external reliance. Vendor use shall not be treated as a purely administrative procurement condition when the provider receives operational context, hosts workflow records, influences decisions, supports evidence production, generates representations, or becomes material to institutional continuity.</w:t>
      </w:r>
    </w:p>
    <w:p>
      <w:pPr>
        <w:spacing w:before="0" w:after="100" w:lineRule="auto" w:line="252"/>
      </w:pPr>
      <w:r>
        <w:rPr>
          <w:rFonts w:ascii="Aptos" w:hAnsi="Aptos" w:eastAsia="Aptos"/>
          <w:b w:val="0"/>
          <w:color w:val="2B3646"/>
          <w:sz w:val="18"/>
        </w:rPr>
        <w:t>Organizations implementing this framework shall distinguish vendor access, vendor dependency, outsourced processing, external operational visibility, managed service reliance, AI-enabled vendor processing, externalized governance handling, third-party propagation, dependency-driven exposure, and vendor-mediated operational risk. These distinctions shall be reflected in vendor role mapping, processing boundary profiles, approved use cases, output reliance rules, and continuity expectations proportionate to workflow consequence.</w:t>
      </w:r>
    </w:p>
    <w:p>
      <w:pPr>
        <w:spacing w:before="0" w:after="100" w:lineRule="auto" w:line="252"/>
      </w:pPr>
      <w:r>
        <w:rPr>
          <w:rFonts w:ascii="Aptos" w:hAnsi="Aptos" w:eastAsia="Aptos"/>
          <w:b w:val="0"/>
          <w:color w:val="2B3646"/>
          <w:sz w:val="18"/>
        </w:rPr>
        <w:t>AI-enabled vendor services shall be reviewed as transformation environments, not only as external systems. Summaries, classifications, recommendations, rankings, generated drafts, analytics, and extracted fields shall be treated as governed artifacts when they carry sensitivity, support decisions, affect routing, inform escalation, or may be reused by internal or external audiences. AI-derived outputs shall remain linked to source, method, limitation, reviewer, audience, and authority where reliance is material.</w:t>
      </w:r>
    </w:p>
    <w:p>
      <w:pPr>
        <w:spacing w:before="0" w:after="100" w:lineRule="auto" w:line="252"/>
      </w:pPr>
      <w:r>
        <w:rPr>
          <w:rFonts w:ascii="Aptos" w:hAnsi="Aptos" w:eastAsia="Aptos"/>
          <w:b w:val="0"/>
          <w:color w:val="2B3646"/>
          <w:sz w:val="18"/>
        </w:rPr>
        <w:t>Vendor dependency shall remain visible enough to support operational continuity, evidence reconstruction, accountability preservation, and bounded institutional trust. Where vendor systems, provider personnel, downstream services, AI models, dashboards, integrations, or generated outputs become material to governance operation, the dependency shall be recorded, reviewed, and recalibrated when workflow use, service behavior, processing chain, or reliance condition changes.</w:t>
      </w:r>
    </w:p>
    <w:p>
      <w:pPr>
        <w:spacing w:before="0" w:after="100" w:lineRule="auto" w:line="252"/>
      </w:pPr>
      <w:r>
        <w:rPr>
          <w:rFonts w:ascii="Aptos" w:hAnsi="Aptos" w:eastAsia="Aptos"/>
          <w:b w:val="0"/>
          <w:color w:val="2B3646"/>
          <w:sz w:val="18"/>
        </w:rPr>
        <w:t>The operating standard for this section is sustained governance continuity through external processing. Third-party assistance may improve operational capacity, but it shall not obscure information movement, displace accountability, convert vendor output into unvalidated evidence, expand external visibility without review, or allow AI-enabled service features to reshape exposure assumptions without governance recognition.</w:t>
      </w:r>
    </w:p>
    <w:sectPr w:rsidR="00FC693F" w:rsidRPr="0006063C" w:rsidSect="00034616">
      <w:footerReference w:type="default" r:id="rId9"/>
      <w:pgSz w:w="12240" w:h="15840"/>
      <w:pgMar w:top="1037" w:right="835" w:bottom="893" w:left="835"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Rule="auto" w:line="240"/>
    </w:pPr>
    <w:r/>
    <w:r>
      <w:rPr>
        <w:rFonts w:ascii="Aptos" w:hAnsi="Aptos" w:eastAsia="Aptos"/>
        <w:b w:val="0"/>
        <w:color w:val="64738A"/>
        <w:sz w:val="14"/>
      </w:rPr>
      <w:t>Paladin Compliance Governance Binder | Section 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