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b/>
          <w:color w:val="17365D"/>
          <w:sz w:val="37"/>
        </w:rPr>
        <w:t>A-1 Annual AI Governance Expenditure Record</w:t>
      </w:r>
    </w:p>
    <w:p>
      <w:pPr>
        <w:keepNext w:val="0"/>
        <w:spacing w:after="200" w:before="0"/>
      </w:pPr>
      <w:r>
        <w:rPr>
          <w:rFonts w:ascii="Aptos" w:hAnsi="Aptos" w:eastAsia="Aptos"/>
          <w:b/>
          <w:color w:val="66758A"/>
          <w:sz w:val="18"/>
        </w:rPr>
        <w:t>Paladin Compliance Governance Binder | Appendix</w:t>
      </w:r>
    </w:p>
    <w:p>
      <w:pPr>
        <w:keepNext w:val="0"/>
        <w:spacing w:after="160" w:before="0"/>
      </w:pPr>
      <w:r>
        <w:rPr>
          <w:rFonts w:ascii="Aptos" w:hAnsi="Aptos" w:eastAsia="Aptos"/>
          <w:b w:val="0"/>
          <w:color w:val="2F3A4A"/>
          <w:sz w:val="18"/>
        </w:rPr>
        <w:t>This record is the organization’s own, unaudited documentation of AI governance spending. It is not accounting, tax, legal, or insurance advice, and it is not an audit, certification, assurance, or verification by Paladin Compliance or any third party. Figures are only as accurate as the entries the organization makes and the invoices it keeps.</w:t>
      </w:r>
    </w:p>
    <w:p>
      <w:pPr>
        <w:keepNext/>
        <w:spacing w:after="60" w:before="0"/>
      </w:pPr>
      <w:r>
        <w:rPr>
          <w:rFonts w:ascii="Aptos" w:hAnsi="Aptos" w:eastAsia="Aptos"/>
          <w:b/>
          <w:color w:val="17365D"/>
          <w:sz w:val="18"/>
        </w:rPr>
        <w:t>Purpose and Use</w:t>
      </w:r>
    </w:p>
    <w:p>
      <w:pPr>
        <w:keepNext w:val="0"/>
        <w:spacing w:after="120" w:before="0"/>
      </w:pPr>
      <w:r>
        <w:rPr>
          <w:rFonts w:ascii="Aptos" w:hAnsi="Aptos" w:eastAsia="Aptos"/>
          <w:b w:val="0"/>
          <w:color w:val="2F3A4A"/>
          <w:sz w:val="18"/>
        </w:rPr>
        <w:t>This appendix lets the organization keep a documented record of what it spends on AI governance during a fiscal year: policy work, training, vendor review, tooling, advice, and similar items. The log records each expenditure by date, category, vendor, amount, and purpose. The annual summary totals the log by category and quarter so the organization can state, for its own board, budget, insurer, or client conversations, what it recorded as spent during the year.</w:t>
      </w:r>
    </w:p>
    <w:p>
      <w:pPr>
        <w:keepNext w:val="0"/>
        <w:spacing w:after="120" w:before="0"/>
      </w:pPr>
      <w:r>
        <w:rPr>
          <w:rFonts w:ascii="Aptos" w:hAnsi="Aptos" w:eastAsia="Aptos"/>
          <w:b w:val="0"/>
          <w:color w:val="2F3A4A"/>
          <w:sz w:val="18"/>
        </w:rPr>
        <w:t>Use the same fiscal year as the organization’s accounting records. Record an expenditure when it is paid or invoiced, consistently. Keep the invoice or reference number so each entry can be traced to a source. Do not include the cost of the AI tools the organization uses for its work unless it deliberately treats a specific item as governance spending and explains why in Purpose.</w:t>
      </w:r>
    </w:p>
    <w:p>
      <w:pPr>
        <w:keepNext w:val="0"/>
        <w:spacing w:after="120" w:before="0"/>
      </w:pPr>
      <w:r>
        <w:rPr>
          <w:rFonts w:ascii="Aptos" w:hAnsi="Aptos" w:eastAsia="Aptos"/>
          <w:b w:val="0"/>
          <w:color w:val="2F3A4A"/>
          <w:sz w:val="18"/>
        </w:rPr>
        <w:t>A spend figure documents effort and resources. It does not show that controls work, that the organization complies with any law or contract, or that any insurer, customer, or regulator will accept it.</w:t>
      </w:r>
    </w:p>
    <w:p>
      <w:pPr>
        <w:keepNext/>
        <w:spacing w:after="60" w:before="0"/>
      </w:pPr>
      <w:r>
        <w:rPr>
          <w:rFonts w:ascii="Aptos" w:hAnsi="Aptos" w:eastAsia="Aptos"/>
          <w:b/>
          <w:color w:val="17365D"/>
          <w:sz w:val="18"/>
        </w:rPr>
        <w:t>Part 1. Record Identification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83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Field</w:t>
            </w:r>
          </w:p>
        </w:tc>
        <w:tc>
          <w:tcPr>
            <w:tcW w:type="dxa" w:w="624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Organization name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Fiscal year (start – end)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Prepared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prepared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Reviewed or approved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reviewed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Currency and accounting basis</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USD; cash / accrual (circle one)</w:t>
            </w:r>
          </w:p>
        </w:tc>
      </w:tr>
    </w:tbl>
    <w:p>
      <w:pPr>
        <w:spacing w:after="80"/>
      </w:pPr>
    </w:p>
    <w:p>
      <w:pPr>
        <w:keepNext/>
        <w:spacing w:after="60" w:before="0"/>
      </w:pPr>
      <w:r>
        <w:rPr>
          <w:rFonts w:ascii="Aptos" w:hAnsi="Aptos" w:eastAsia="Aptos"/>
          <w:b/>
          <w:color w:val="17365D"/>
          <w:sz w:val="18"/>
        </w:rPr>
        <w:t>Part 2. Spending Categories</w:t>
      </w:r>
    </w:p>
    <w:p>
      <w:pPr>
        <w:keepNext w:val="0"/>
        <w:spacing w:after="120" w:before="0"/>
      </w:pPr>
      <w:r>
        <w:rPr>
          <w:rFonts w:ascii="Aptos" w:hAnsi="Aptos" w:eastAsia="Aptos"/>
          <w:b w:val="0"/>
          <w:color w:val="2F3A4A"/>
          <w:sz w:val="18"/>
        </w:rPr>
        <w:t>Use one category per entry. Add context in Purpose or Notes. If an entry spans categories, split it into separate lines.</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22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685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What belongs here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Drafting or maintaining AI use policies, this binder, templates, governance tooling subscriptions.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Outside counsel or consultants advising on AI use, contracts, privacy, or regulatory questions.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Staff training, courses, workshops, and awareness materials about acceptable AI use.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Time or fees spent reviewing AI vendors, security questionnaires, data-processing terms.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Software or services used to log, monitor, or control AI use (not the AI tools themselves).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Assessments, audits, or penetration tests the organization itself commissioned from an independent firm.</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Costs of reviewing, containing, or correcting an AI-related incident or finding.</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Premium or endorsement cost for an actual insurance policy that addresses AI-related risk.</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Documented, reasonable allocation of staff time spent on AI governance; state the method in Notes.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Anything else the organization considers AI governance spending; explain in Purpose.</w:t>
            </w:r>
          </w:p>
        </w:tc>
      </w:tr>
    </w:tbl>
    <w:p>
      <w:pPr>
        <w:spacing w:after="80"/>
      </w:pPr>
    </w:p>
    <w:p>
      <w:pPr>
        <w:keepNext/>
        <w:spacing w:after="60" w:before="0"/>
      </w:pPr>
      <w:r>
        <w:rPr>
          <w:rFonts w:ascii="Aptos" w:hAnsi="Aptos" w:eastAsia="Aptos"/>
          <w:b/>
          <w:color w:val="17365D"/>
          <w:sz w:val="18"/>
        </w:rPr>
        <w:t>Part 3. Expenditure Log</w:t>
      </w:r>
    </w:p>
    <w:p>
      <w:pPr>
        <w:keepNext w:val="0"/>
        <w:spacing w:after="120" w:before="0"/>
      </w:pPr>
      <w:r>
        <w:rPr>
          <w:rFonts w:ascii="Aptos" w:hAnsi="Aptos" w:eastAsia="Aptos"/>
          <w:b w:val="0"/>
          <w:color w:val="2F3A4A"/>
          <w:sz w:val="18"/>
        </w:rPr>
        <w:t>Record one line per expenditure. Add pages as needed or use the companion spreadsheet (Paladin_AI_Governance_Expenditure_Record.xlsx), whose Annual Summary totals the log automatically.</w:t>
      </w:r>
    </w:p>
    <w:tbl>
      <w:tblPr>
        <w:tblStyle w:val="TableGrid"/>
        <w:tblW w:type="auto" w:w="0"/>
        <w:tblLayout w:type="fixed"/>
        <w:tblLook w:firstColumn="1" w:firstRow="1" w:lastColumn="0" w:lastRow="0" w:noHBand="0" w:noVBand="1" w:val="04A0"/>
        <w:tblLayout w:type="fixed"/>
      </w:tblPr>
      <w:tblGrid>
        <w:gridCol w:w="1762"/>
        <w:gridCol w:w="1762"/>
        <w:gridCol w:w="1762"/>
        <w:gridCol w:w="1762"/>
        <w:gridCol w:w="1762"/>
        <w:gridCol w:w="1762"/>
      </w:tblGrid>
      <w:tr>
        <w:trPr>
          <w:cantSplit/>
        </w:trPr>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Date</w:t>
            </w:r>
          </w:p>
        </w:tc>
        <w:tc>
          <w:tcPr>
            <w:tcW w:type="dxa" w:w="2016"/>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81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Vendor / Payee</w:t>
            </w:r>
          </w:p>
        </w:tc>
        <w:tc>
          <w:tcPr>
            <w:tcW w:type="dxa" w:w="272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Purpose</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Amount (USD)</w:t>
            </w:r>
          </w:p>
        </w:tc>
        <w:tc>
          <w:tcPr>
            <w:tcW w:type="dxa" w:w="131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Invoice / reference</w:t>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66758A"/>
          <w:sz w:val="16"/>
        </w:rPr>
        <w:t>Optional columns kept in the spreadsheet: one-time or recurring, approved by, and notes.</w:t>
      </w:r>
    </w:p>
    <w:p>
      <w:pPr>
        <w:keepNext/>
        <w:spacing w:after="60" w:before="0"/>
      </w:pPr>
      <w:r>
        <w:rPr>
          <w:rFonts w:ascii="Aptos" w:hAnsi="Aptos" w:eastAsia="Aptos"/>
          <w:b/>
          <w:color w:val="17365D"/>
          <w:sz w:val="18"/>
        </w:rPr>
        <w:t>Part 4. Annual Summary</w:t>
      </w:r>
    </w:p>
    <w:p>
      <w:pPr>
        <w:keepNext w:val="0"/>
        <w:spacing w:after="120" w:before="0"/>
      </w:pPr>
      <w:r>
        <w:rPr>
          <w:rFonts w:ascii="Aptos" w:hAnsi="Aptos" w:eastAsia="Aptos"/>
          <w:b w:val="0"/>
          <w:color w:val="2F3A4A"/>
          <w:sz w:val="18"/>
        </w:rPr>
        <w:t>Total each category from the log. Quarter columns follow the fiscal year start.</w:t>
      </w:r>
    </w:p>
    <w:tbl>
      <w:tblPr>
        <w:tblStyle w:val="TableGrid"/>
        <w:tblW w:type="auto" w:w="0"/>
        <w:tblLayout w:type="fixed"/>
        <w:tblLook w:firstColumn="1" w:firstRow="1" w:lastColumn="0" w:lastRow="0" w:noHBand="0" w:noVBand="1" w:val="04A0"/>
        <w:tblLayout w:type="fixed"/>
      </w:tblPr>
      <w:tblGrid>
        <w:gridCol w:w="1510"/>
        <w:gridCol w:w="1510"/>
        <w:gridCol w:w="1510"/>
        <w:gridCol w:w="1510"/>
        <w:gridCol w:w="1510"/>
        <w:gridCol w:w="1510"/>
        <w:gridCol w:w="1510"/>
      </w:tblGrid>
      <w:tr>
        <w:trPr>
          <w:cantSplit/>
        </w:trPr>
        <w:tc>
          <w:tcPr>
            <w:tcW w:type="dxa" w:w="302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Q1</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Q2</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Q3</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Q4</w:t>
            </w:r>
          </w:p>
        </w:tc>
        <w:tc>
          <w:tcPr>
            <w:tcW w:type="dxa" w:w="141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Annual total</w:t>
            </w:r>
          </w:p>
        </w:tc>
        <w:tc>
          <w:tcPr>
            <w:tcW w:type="dxa" w:w="12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 of total</w:t>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Total</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100%</w:t>
            </w:r>
          </w:p>
        </w:tc>
      </w:tr>
    </w:tbl>
    <w:p>
      <w:pPr>
        <w:spacing w:after="80"/>
      </w:pP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Comparison</w:t>
            </w:r>
          </w:p>
        </w:tc>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Prior fiscal year total (if recorded)</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Change from prior year (amount and %)</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Number of log entries this year</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Largest single category and why</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spacing w:after="60" w:before="0"/>
      </w:pPr>
      <w:r>
        <w:rPr>
          <w:rFonts w:ascii="Aptos" w:hAnsi="Aptos" w:eastAsia="Aptos"/>
          <w:b/>
          <w:color w:val="17365D"/>
          <w:sz w:val="18"/>
        </w:rPr>
        <w:t>Part 5. Annual Statement</w:t>
      </w:r>
    </w:p>
    <w:p>
      <w:pPr>
        <w:keepNext w:val="0"/>
        <w:spacing w:after="120" w:before="0"/>
      </w:pPr>
      <w:r>
        <w:rPr>
          <w:rFonts w:ascii="Aptos" w:hAnsi="Aptos" w:eastAsia="Aptos"/>
          <w:b w:val="0"/>
          <w:color w:val="2F3A4A"/>
          <w:sz w:val="18"/>
        </w:rPr>
        <w:t>Complete after the summary is reviewed. Suggested wording for internal, board, or customer use:</w:t>
      </w:r>
    </w:p>
    <w:p>
      <w:pPr>
        <w:keepNext w:val="0"/>
        <w:spacing w:after="120" w:before="0"/>
      </w:pPr>
      <w:r>
        <w:rPr>
          <w:rFonts w:ascii="Aptos" w:hAnsi="Aptos" w:eastAsia="Aptos"/>
          <w:b w:val="0"/>
          <w:color w:val="17365D"/>
          <w:sz w:val="18"/>
        </w:rPr>
        <w:t>“For fiscal year [year], [organization] recorded [$total] in AI governance spending across [n] entries, mainly in [top categories]. This is the organization’s own unaudited record, kept with supporting invoices.”</w:t>
      </w:r>
    </w:p>
    <w:p>
      <w:pPr>
        <w:keepNext w:val="0"/>
        <w:spacing w:after="120" w:before="0"/>
      </w:pPr>
      <w:r>
        <w:rPr>
          <w:rFonts w:ascii="Aptos" w:hAnsi="Aptos" w:eastAsia="Aptos"/>
          <w:b w:val="0"/>
          <w:color w:val="2F3A4A"/>
          <w:sz w:val="18"/>
        </w:rPr>
        <w:t>Do not describe this figure as a measure of compliance, safety, or insurability, and do not describe it as certified, verified, or assured by Paladin Compliance or any other party.</w:t>
      </w:r>
    </w:p>
    <w:p>
      <w:pPr>
        <w:keepNext/>
        <w:spacing w:after="60" w:before="0"/>
      </w:pPr>
      <w:r>
        <w:rPr>
          <w:rFonts w:ascii="Aptos" w:hAnsi="Aptos" w:eastAsia="Aptos"/>
          <w:b/>
          <w:color w:val="17365D"/>
          <w:sz w:val="18"/>
        </w:rPr>
        <w:t>Part 6. Review and Retention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Item</w:t>
            </w:r>
          </w:p>
        </w:tc>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Invoices and references retained at (location)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Retention period set by organization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Reviewer confirms entries match source invoices (initials,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Known gaps or estimates in this record</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Next scheduled review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2F3A4A"/>
          <w:sz w:val="18"/>
        </w:rPr>
        <w:t>Retain this record with other governance evidence under the organization’s retention practice (see Section 2.5). Update the record at least once per fiscal year.</w:t>
      </w:r>
    </w:p>
    <w:sectPr w:rsidR="00FC693F" w:rsidRPr="0006063C" w:rsidSect="00034616">
      <w:footerReference w:type="default" r:id="rId9"/>
      <w:pgSz w:w="12240" w:h="15840"/>
      <w:pgMar w:top="1037" w:right="835" w:bottom="893"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Rule="auto" w:line="259"/>
      <w:jc w:val="left"/>
    </w:pPr>
    <w:r>
      <w:rPr>
        <w:rFonts w:ascii="Aptos" w:hAnsi="Aptos" w:eastAsia="Aptos"/>
        <w:b w:val="0"/>
        <w:color w:val="66758A"/>
        <w:sz w:val="16"/>
      </w:rPr>
      <w:t>Paladin Compliance Governance Binder | Appendix A-1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4"/>
    </w:pPr>
    <w:rPr>
      <w:rFonts w:ascii="Aptos" w:hAnsi="Aptos" w:eastAsia="Aptos"/>
      <w:color w:val="2F3A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 Annual AI Governance Expenditure Record</dc:title>
  <dc:subject>Paladin Compliance Governance Binder appendix</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