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before="0" w:lineRule="auto" w:line="259"/>
        <w:jc w:val="left"/>
      </w:pPr>
      <w:r>
        <w:rPr>
          <w:rFonts w:ascii="Aptos Display" w:hAnsi="Aptos Display" w:eastAsia="Aptos Display"/>
          <w:b/>
          <w:color w:val="17365D"/>
          <w:sz w:val="37"/>
        </w:rPr>
        <w:t>FM-3 Documented Record, Reliance Boundaries, and Institutional Trust Statement</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color w:val="17365D"/>
                <w:sz w:val="17"/>
              </w:rPr>
              <w:t>Documentation and Trust Context</w:t>
            </w:r>
          </w:p>
        </w:tc>
      </w:tr>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val="0"/>
                <w:color w:val="2F3A4A"/>
                <w:sz w:val="17"/>
              </w:rPr>
              <w:t>This front matter section establishes documentation as a bounded governance signal within the framework. Documentation reflects participation in a maintained governance process and the presence of stewardship disciplines intended to preserve evidence-linked accountability, recalibration, and institutional trust. It does not constitute any certification, guarantee operational perfection, or eliminate the need for current evidence, reviewable authority, and organization-specific governance maintenance.</w:t>
            </w:r>
          </w:p>
          <w:p>
            <w:pPr>
              <w:spacing w:after="0" w:before="0" w:lineRule="auto" w:line="259"/>
              <w:jc w:val="left"/>
            </w:pPr>
            <w:r>
              <w:rPr>
                <w:rFonts w:ascii="Aptos" w:hAnsi="Aptos" w:eastAsia="Aptos"/>
                <w:b w:val="0"/>
                <w:color w:val="2F3A4A"/>
                <w:sz w:val="17"/>
              </w:rPr>
              <w:t xml:space="preserve">Nature of this binder. Paladin Compliance provides documentation tools and templates. This binder, and any Paladin registry record issued with it, are a documented record of the organization’s own AI policies and evidence. They are not an audit, assessment, certification, third-party assurance, or verification of compliance; they are not legal advice; and they do not provide, change, or substitute for insurance coverage. Where this binder uses terms such as confidence, reliance, or documentation, they describe the organization’s own representations and the care needed to keep them accurate.</w:t>
            </w:r>
          </w:p>
        </w:tc>
      </w:tr>
    </w:tbl>
    <w:p>
      <w:pPr>
        <w:spacing w:after="40"/>
      </w:pPr>
    </w:p>
    <w:p>
      <w:pPr>
        <w:keepLines w:val="0"/>
        <w:spacing w:after="0" w:lineRule="auto" w:line="259" w:before="0"/>
        <w:jc w:val="left"/>
      </w:pPr>
      <w:r>
        <w:rPr>
          <w:rFonts w:ascii="Aptos" w:hAnsi="Aptos" w:eastAsia="Aptos"/>
          <w:b w:val="0"/>
          <w:color w:val="2F3A4A"/>
          <w:sz w:val="18"/>
        </w:rPr>
        <w:t>Documentation within this governance framework is a disciplined institutional signal. It indicates that a governance posture, process, or artifact is connected to a maintained governance system with defined stewardship expectations, evidence relationships, confidence boundaries, and recalibration obligations. Documentation does not mean that every control is flawless, every workflow is unchanged, every representation remains current, or every exposure has been eliminated.</w:t>
      </w:r>
    </w:p>
    <w:p>
      <w:pPr>
        <w:keepLines w:val="0"/>
        <w:spacing w:after="0" w:lineRule="auto" w:line="259" w:before="0"/>
        <w:jc w:val="left"/>
      </w:pPr>
      <w:r>
        <w:rPr>
          <w:rFonts w:ascii="Aptos" w:hAnsi="Aptos" w:eastAsia="Aptos"/>
          <w:b w:val="0"/>
          <w:color w:val="2F3A4A"/>
          <w:sz w:val="18"/>
        </w:rPr>
        <w:t>The purpose of documentation is to support credible reliance without overstating certainty. Governance trust is preserved when the institution can explain what has been documented, what evidence supports the documentation, what limitations apply, who remains accountable, what conditions require reassessment, and how public or external signals are kept proportional to actual governance maturity. Documentation that cannot explain its own scope becomes a representation risk rather than a trust mechanism.</w:t>
      </w:r>
    </w:p>
    <w:p>
      <w:pPr>
        <w:keepLines w:val="0"/>
        <w:spacing w:after="0" w:lineRule="auto" w:line="259" w:before="0"/>
        <w:jc w:val="left"/>
      </w:pPr>
      <w:r>
        <w:rPr>
          <w:rFonts w:ascii="Aptos" w:hAnsi="Aptos" w:eastAsia="Aptos"/>
          <w:b w:val="0"/>
          <w:color w:val="2F3A4A"/>
          <w:sz w:val="18"/>
        </w:rPr>
        <w:t>Public registry record has heightened consequence because visibility can create reliance beyond the original governance audience. Customers, partners, investors, regulators, vendors, and internal executives may interpret a visible governance signal as evidence of institutional discipline. For that reason, documentation must remain bounded, evidence-linked, and operationally honest. A governance signal that outlives evidence support or operational alignment can erode institutional trust more severely than a qualified statement that preserves uncertainty.</w:t>
      </w:r>
    </w:p>
    <w:p>
      <w:pPr>
        <w:keepNext/>
        <w:spacing w:before="0" w:after="0" w:lineRule="auto" w:line="259"/>
        <w:jc w:val="left"/>
      </w:pPr>
      <w:r>
        <w:rPr>
          <w:rFonts w:ascii="Aptos" w:hAnsi="Aptos" w:eastAsia="Aptos"/>
          <w:b/>
          <w:color w:val="17365D"/>
          <w:sz w:val="18"/>
        </w:rPr>
        <w:t>Documentation Philosophy Principles</w:t>
      </w:r>
    </w:p>
    <w:tbl>
      <w:tblPr>
        <w:tblStyle w:val="TableGrid"/>
        <w:tblW w:type="dxa" w:w="11160"/>
        <w:tblLayout w:type="fixed"/>
        <w:tblLook w:firstColumn="1" w:firstRow="1" w:lastColumn="0" w:lastRow="0" w:noHBand="0" w:noVBand="1" w:val="04A0"/>
      </w:tblPr>
      <w:tblGrid>
        <w:gridCol w:w="1850"/>
        <w:gridCol w:w="2500"/>
        <w:gridCol w:w="2350"/>
        <w:gridCol w:w="2450"/>
        <w:gridCol w:w="201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Meaning</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Does Not Mean</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Requirement</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Risk If Misused</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documentation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describes a governed condition within defined scope, evidence, authority, and time context.</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It is not certification of all operations or all future conditions.</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scope, freshness, limitation, and source evidence with the registry record.</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infer broader confidence than the institution can support.</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trust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Credibility depends on traceable evidence rather than confidence language alone.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public signal is not proof if evidence lineage, population, or review method is unclear.</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source logic, review basis, and evidence limitation for later reconstruction.</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becomes a symbolic marker detached from operating proof.</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visibility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may indicate participation in an active governance stewardship process.</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does not prove maturity, completeness, or absence of governance exceptions.</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Distinguish enrollment, maintenance, review, escalation, and confidence readiness.</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participation signal is mistaken for control effectiveness.</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Proportional confidence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strength of a trust statement must match governance maturity and evidence support.</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posture language cannot substitute for unresolved limitation disclosure.</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Calibrate language after change, weak evidence, expanded reliance, or monitoring findings.</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inflation damages credibility when challenged.</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Survivable representation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must remain explainable after turnover, operational change, or external review.</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badge, statement, or record is not durable if the basis cannot be reconstructed.</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rationale, approval authority, effective period, reassessment trigger, and retirement path.</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cannot explain why documentation remained visible.</w:t>
            </w:r>
          </w:p>
        </w:tc>
      </w:tr>
    </w:tbl>
    <w:p>
      <w:pPr>
        <w:spacing w:after="20"/>
      </w:pPr>
    </w:p>
    <w:p>
      <w:pPr>
        <w:pStyle w:val="Heading2"/>
        <w:keepNext/>
      </w:pPr>
      <w:r>
        <w:t>Documentation as Institutional Trust Signaling</w:t>
      </w:r>
    </w:p>
    <w:p>
      <w:pPr>
        <w:keepLines w:val="0"/>
        <w:spacing w:after="0" w:lineRule="auto" w:line="259" w:before="0"/>
        <w:jc w:val="left"/>
      </w:pPr>
      <w:r>
        <w:rPr>
          <w:rFonts w:ascii="Aptos" w:hAnsi="Aptos" w:eastAsia="Aptos"/>
          <w:b w:val="0"/>
          <w:color w:val="2F3A4A"/>
          <w:sz w:val="18"/>
        </w:rPr>
        <w:t>Documentation operates as institutional trust signaling when it makes governance participation, stewardship, evidence linkage, and accountability visible without converting those signals into unconditional confidence. A credible documentation system strengthens trust because it creates a disciplined relationship between public confidence and maintained governance reality. It weakens trust when its visible form becomes broader, fresher, or more definitive than the underlying governance process.</w:t>
      </w:r>
    </w:p>
    <w:p>
      <w:pPr>
        <w:keepLines w:val="0"/>
        <w:spacing w:after="0" w:lineRule="auto" w:line="259" w:before="0"/>
        <w:jc w:val="left"/>
      </w:pPr>
      <w:r>
        <w:rPr>
          <w:rFonts w:ascii="Aptos" w:hAnsi="Aptos" w:eastAsia="Aptos"/>
          <w:b w:val="0"/>
          <w:color w:val="2F3A4A"/>
          <w:sz w:val="18"/>
        </w:rPr>
        <w:t>Documentation is therefore neither marketing posture nor certification. It is an institutional signal that must remain explainable, bounded, and capable of recalibration. Public trust depends on visible accountability, maintained evidence, reviewable limitations, and the institution's willingness to revise or qualify documentation when operating conditions change. Governance legitimacy is preserved when documentation remains faithful to what the organization can actually demonstrate.</w:t>
      </w:r>
    </w:p>
    <w:p>
      <w:pPr>
        <w:keepNext/>
        <w:spacing w:before="0" w:after="0" w:lineRule="auto" w:line="259"/>
        <w:jc w:val="left"/>
      </w:pPr>
      <w:r>
        <w:rPr>
          <w:rFonts w:ascii="Aptos" w:hAnsi="Aptos" w:eastAsia="Aptos"/>
          <w:b/>
          <w:color w:val="17365D"/>
          <w:sz w:val="18"/>
        </w:rPr>
        <w:t>Governance Participation Distinctions</w:t>
      </w:r>
    </w:p>
    <w:tbl>
      <w:tblPr>
        <w:tblStyle w:val="TableGrid"/>
        <w:tblW w:type="dxa" w:w="11160"/>
        <w:tblLayout w:type="fixed"/>
        <w:tblLook w:firstColumn="1" w:firstRow="1" w:lastColumn="0" w:lastRow="0" w:noHBand="0" w:noVBand="1" w:val="04A0"/>
      </w:tblPr>
      <w:tblGrid>
        <w:gridCol w:w="1900"/>
        <w:gridCol w:w="2500"/>
        <w:gridCol w:w="2500"/>
        <w:gridCol w:w="220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Establishes</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Does Not Establish</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Concern</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Expected Evidence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Framework adoption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has elected to use a structured governance reference model.</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the framework is fully embedded across all workflows or functions.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Adoption language may exceed operational implementation.</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Adoption record, scope statement, ownership assignment, and implementation status.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Active maintenance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is preserving document status, revision logic, and governance stewardship.</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every operational change has already been reconciled.</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Maintenance can become administrative if not tested against reality.</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history, change triggers, review cadence, and unresolved update log.</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submission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Artifacts have been produced or retained for governance review.</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artifacts are sufficient, complete, fresh, or representative.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File volume can create false confidence.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lineage, population coverage, review method, and limitation notes.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review</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qualified function or forum has examined a governance condition.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review authority accepted residual exposure or funded remediation.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can be mistaken for decision authority.</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record, decision route, exception treatment, and accountable owner.</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registry record signal</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visible governance posture has been made available to relying parties.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all underlying operations are free of drift or future degradation.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may expand beyond the documented boundary.</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statement basis, effective date, scope, limitation, and retirement trigger.</w:t>
            </w:r>
          </w:p>
        </w:tc>
      </w:tr>
    </w:tbl>
    <w:p>
      <w:pPr>
        <w:spacing w:after="20"/>
      </w:pPr>
    </w:p>
    <w:p>
      <w:pPr>
        <w:keepNext/>
        <w:spacing w:before="0" w:after="0" w:lineRule="auto" w:line="259"/>
        <w:jc w:val="left"/>
      </w:pPr>
      <w:r>
        <w:rPr>
          <w:rFonts w:ascii="Aptos" w:hAnsi="Aptos" w:eastAsia="Aptos"/>
          <w:b/>
          <w:color w:val="17365D"/>
          <w:sz w:val="18"/>
        </w:rPr>
        <w:t>Documentation Boundary Concepts</w:t>
      </w:r>
    </w:p>
    <w:tbl>
      <w:tblPr>
        <w:tblStyle w:val="TableGrid"/>
        <w:tblW w:type="dxa" w:w="11160"/>
        <w:tblLayout w:type="fixed"/>
        <w:tblLook w:firstColumn="1" w:firstRow="1" w:lastColumn="0" w:lastRow="0" w:noHBand="0" w:noVBand="1" w:val="04A0"/>
      </w:tblPr>
      <w:tblGrid>
        <w:gridCol w:w="1800"/>
        <w:gridCol w:w="2450"/>
        <w:gridCol w:w="2550"/>
        <w:gridCol w:w="2200"/>
        <w:gridCol w:w="2160"/>
      </w:tblGrid>
      <w:tr>
        <w:trPr>
          <w:tblHeader w:val="true"/>
          <w:cantSplit/>
        </w:trPr>
        <w:tc>
          <w:tcPr>
            <w:tcW w:type="dxa" w:w="18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Boundary</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Controls</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Example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1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Preservation Method</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domains, entities, workflows, or artifacts covered by documentation.</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applies to governance binder maintenance but not downstream operating performance.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narrow signal is read as enterprise-wide confidence.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scope language to registry records and public signals.</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boundary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proof basis that supports the documentation statement.</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relies on governance records, evidence maps, and review artifacts current as of a defined date.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Supporting artifacts age while the visible signal remains unchanged.</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evidence freshness and require reassessment after source or population change.</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roles or forums empowered to issue, maintain, qualify, or withdraw documentation.</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governance owner approves continuation while executive review is required for public reliance expansion.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persists after accountable authority changes.</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documentation authority mapping and succession handling.</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Temporal boundary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time period for which documentation reasonably reflects the governed condition.</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documentation statement remains active until defined change triggers or review expiration occur.</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stale signal appears current because no expiration is visible.</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effective dates, review windows, and retirement criteria.</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audience and purpose for which documentation may be interpreted.</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customer-facing trust page and an internal governance review require different limitation language.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readers infer more certainty than the signal intended.</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Separate public, executive, customer, partner, and internal reliance contexts.</w:t>
            </w:r>
          </w:p>
        </w:tc>
      </w:tr>
    </w:tbl>
    <w:p>
      <w:pPr>
        <w:spacing w:after="20"/>
      </w:pPr>
    </w:p>
    <w:p>
      <w:pPr>
        <w:pStyle w:val="Heading2"/>
        <w:keepNext/>
      </w:pPr>
      <w:r>
        <w:t>Confidence Boundaries, Reliance, and Trust Calibration</w:t>
      </w:r>
    </w:p>
    <w:p>
      <w:pPr>
        <w:keepLines w:val="0"/>
        <w:spacing w:after="0" w:lineRule="auto" w:line="259" w:before="0"/>
        <w:jc w:val="left"/>
      </w:pPr>
      <w:r>
        <w:rPr>
          <w:rFonts w:ascii="Aptos" w:hAnsi="Aptos" w:eastAsia="Aptos"/>
          <w:b w:val="0"/>
          <w:color w:val="2F3A4A"/>
          <w:sz w:val="18"/>
        </w:rPr>
        <w:t>Confidence associated with documentation must remain calibrated to governance evidence and institutional capability. Documentation can support confidence in governance participation, stewardship discipline, and document maintenance only to the extent that those conditions are actively maintained. It cannot convert a governance framework into proof that every operational dependency, workflow, control, representation, or AI-assisted process remains fully aligned at all times.</w:t>
      </w:r>
    </w:p>
    <w:p>
      <w:pPr>
        <w:keepLines w:val="0"/>
        <w:spacing w:after="0" w:lineRule="auto" w:line="259" w:before="0"/>
        <w:jc w:val="left"/>
      </w:pPr>
      <w:r>
        <w:rPr>
          <w:rFonts w:ascii="Aptos" w:hAnsi="Aptos" w:eastAsia="Aptos"/>
          <w:b w:val="0"/>
          <w:color w:val="2F3A4A"/>
          <w:sz w:val="18"/>
        </w:rPr>
        <w:t>Trust calibration is the disciplined matching of confidence to evidence. Institutions preserve credibility when they identify limitations before others discover them, qualify public signals when evidence is incomplete, and withdraw or revise documentation when operational reality has moved beyond the documented state. Trust can survive uncertainty when uncertainty is visible. Trust becomes fragile when certainty is implied after evidence or governance maturity has weakened.</w:t>
      </w:r>
    </w:p>
    <w:p>
      <w:pPr>
        <w:keepNext/>
        <w:spacing w:before="0" w:after="0" w:lineRule="auto" w:line="259"/>
        <w:jc w:val="left"/>
      </w:pPr>
      <w:r>
        <w:rPr>
          <w:rFonts w:ascii="Aptos" w:hAnsi="Aptos" w:eastAsia="Aptos"/>
          <w:b/>
          <w:color w:val="17365D"/>
          <w:sz w:val="18"/>
        </w:rPr>
        <w:t>Trust Signaling Structures</w:t>
      </w:r>
    </w:p>
    <w:tbl>
      <w:tblPr>
        <w:tblStyle w:val="TableGrid"/>
        <w:tblW w:type="dxa" w:w="11160"/>
        <w:tblLayout w:type="fixed"/>
        <w:tblLook w:firstColumn="1" w:firstRow="1" w:lastColumn="0" w:lastRow="0" w:noHBand="0" w:noVBand="1" w:val="04A0"/>
      </w:tblPr>
      <w:tblGrid>
        <w:gridCol w:w="1900"/>
        <w:gridCol w:w="2500"/>
        <w:gridCol w:w="2500"/>
        <w:gridCol w:w="220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Signal Type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Function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Evidence Dependency</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Distortion Risk</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Control</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statement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Communicates that a governed process or artifact is under maintained stewardship.</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status, owner, evidence basis, limitation, and review date.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Statement remains visible after evidence or scope changes.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qualify, or retire the statement when support changes.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posture summary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Gives stakeholders a structured description of oversight, accountability, and evidence discipline.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Approved governance language tied to current operating assumptions.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Summary compresses uncertainty into executive certainty.</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caveats and route material changes through representation review.</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trust page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Makes governance participation visible to external audiences.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Registry record status, controlled source, effective date, and reliance boundary.</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Page becomes a standing confidence channel without maintenance ownership.</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Assign page owner and link updates to governance change triggers.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response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bounded confidence in a relationship-specific context.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Requested scope, current evidence, accountable reviewer, and use limitation.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Prior responses become templates despite changed conditions.</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reuse records and require review before repetition.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 reporting signal</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Provides leadership with a concise view of governance condition and uncertainty.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results, unresolved exceptions, escalation status, and evidence freshness.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Green status masks weak signal quality or stale populations.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Include limitation statements and challenge indicators.</w:t>
            </w:r>
          </w:p>
        </w:tc>
      </w:tr>
    </w:tbl>
    <w:p>
      <w:pPr>
        <w:spacing w:after="20"/>
      </w:pPr>
    </w:p>
    <w:p>
      <w:pPr>
        <w:keepNext/>
        <w:spacing w:before="0" w:after="0" w:lineRule="auto" w:line="259"/>
        <w:jc w:val="left"/>
      </w:pPr>
      <w:r>
        <w:rPr>
          <w:rFonts w:ascii="Aptos" w:hAnsi="Aptos" w:eastAsia="Aptos"/>
          <w:b/>
          <w:color w:val="17365D"/>
          <w:sz w:val="18"/>
        </w:rPr>
        <w:t>Public Reliance Distinctions</w:t>
      </w:r>
    </w:p>
    <w:tbl>
      <w:tblPr>
        <w:tblStyle w:val="TableGrid"/>
        <w:tblW w:type="dxa" w:w="11160"/>
        <w:tblLayout w:type="fixed"/>
        <w:tblLook w:firstColumn="1" w:firstRow="1" w:lastColumn="0" w:lastRow="0" w:noHBand="0" w:noVBand="1" w:val="04A0"/>
      </w:tblPr>
      <w:tblGrid>
        <w:gridCol w:w="1900"/>
        <w:gridCol w:w="2450"/>
        <w:gridCol w:w="2450"/>
        <w:gridCol w:w="2200"/>
        <w:gridCol w:w="21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Reliance Context</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Likely Interpretation</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Documentation Limitation</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Sensitivity</w:t>
            </w:r>
          </w:p>
        </w:tc>
        <w:tc>
          <w:tcPr>
            <w:tcW w:type="dxa" w:w="21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Stewardship</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diligence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customer may treat documentation as evidence of disciplined governance participation.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does not prove every obligation or workflow is operating without exception.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is relationship-specific and may influence vendor acceptance.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 scope, effective date, evidence boundary, and current review status.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Partner evaluation</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partner may infer that governance interfaces are stable and accountable.</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may not cover partner-specific dependencies or downstream implementation.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can shift quickly if coordination failures emerge.</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 interface scope and unresolved dependency handling.</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Investor review</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Investors may view visible governance as a maturity and resilience signal.</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posture does not eliminate execution risk or transition fragility.</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Overstated maturity can affect credibility during challenge.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statements to documented evidence and known limitations.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 oversight</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Leadership may use documentation as an indicator of institutional stewardship.</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cannot replace inquiry into drift, exceptions, or authority gaps.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Executives may enter late if signals appear cleaner than reality.</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Report uncertainty, pending reassessment, and escalation status with documentation.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trust signaling</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public may read documentation as a broad confidence of responsible operation.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visibility is bounded by what the institution can substantiate.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Visible overstatement can create reputational exposure.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public language review and withdrawal criteria.</w:t>
            </w:r>
          </w:p>
        </w:tc>
      </w:tr>
    </w:tbl>
    <w:p>
      <w:pPr>
        <w:spacing w:after="20"/>
      </w:pPr>
    </w:p>
    <w:p>
      <w:pPr>
        <w:pStyle w:val="Heading2"/>
        <w:keepNext/>
      </w:pPr>
      <w:r>
        <w:t>Documentation Freshness and Survivability</w:t>
      </w:r>
    </w:p>
    <w:p>
      <w:pPr>
        <w:keepLines w:val="0"/>
        <w:spacing w:after="0" w:lineRule="auto" w:line="259" w:before="0"/>
        <w:jc w:val="left"/>
      </w:pPr>
      <w:r>
        <w:rPr>
          <w:rFonts w:ascii="Aptos" w:hAnsi="Aptos" w:eastAsia="Aptos"/>
          <w:b w:val="0"/>
          <w:color w:val="2F3A4A"/>
          <w:sz w:val="18"/>
        </w:rPr>
        <w:t>Documentation freshness is the continuing alignment between the registry record signal and the governed condition it represents. Freshness is not satisfied by the continued availability of a public page, a current-looking date, or a repeated confidence phrase. A registry record signal can appear active while the underlying evidence source, governance owner, workflow population, control mapping, or representation boundary has changed.</w:t>
      </w:r>
    </w:p>
    <w:p>
      <w:pPr>
        <w:keepLines w:val="0"/>
        <w:spacing w:after="0" w:lineRule="auto" w:line="259" w:before="0"/>
        <w:jc w:val="left"/>
      </w:pPr>
      <w:r>
        <w:rPr>
          <w:rFonts w:ascii="Aptos" w:hAnsi="Aptos" w:eastAsia="Aptos"/>
          <w:b w:val="0"/>
          <w:color w:val="2F3A4A"/>
          <w:sz w:val="18"/>
        </w:rPr>
        <w:t>Documentation survivability is the ability to reconstruct the documentation basis after time, personnel turnover, operational redesign, public challenge, or expanded reliance. A survivable registry record shows what was documented, why the documentation was reasonable, what evidence was reviewed, what limitations were known, who had authority, what events would require recalibration, and how the signal would be qualified or withdrawn if support changed.</w:t>
      </w:r>
    </w:p>
    <w:p>
      <w:pPr>
        <w:keepNext/>
        <w:spacing w:before="0" w:after="0" w:lineRule="auto" w:line="259"/>
        <w:jc w:val="left"/>
      </w:pPr>
      <w:r>
        <w:rPr>
          <w:rFonts w:ascii="Aptos" w:hAnsi="Aptos" w:eastAsia="Aptos"/>
          <w:b/>
          <w:color w:val="17365D"/>
          <w:sz w:val="18"/>
        </w:rPr>
        <w:t>Documentation Freshness Concepts</w:t>
      </w:r>
    </w:p>
    <w:tbl>
      <w:tblPr>
        <w:tblStyle w:val="TableGrid"/>
        <w:tblW w:type="dxa" w:w="11160"/>
        <w:tblLayout w:type="fixed"/>
        <w:tblLook w:firstColumn="1" w:firstRow="1" w:lastColumn="0" w:lastRow="0" w:noHBand="0" w:noVBand="1" w:val="04A0"/>
      </w:tblPr>
      <w:tblGrid>
        <w:gridCol w:w="1900"/>
        <w:gridCol w:w="2500"/>
        <w:gridCol w:w="2350"/>
        <w:gridCol w:w="235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Freshness Area</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Current Condition Required</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False Freshness Signal</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Recalibration Trigger</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Preservation Action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freshness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remains tied to the active source population and review method.</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packages are complete but drawn from a retired workflow.</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System migration, vendor change, new queue, or evidence format change.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Revalidate source lineage and identify excluded populations.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freshness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remains actively engaged in the governance stewardship process.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registry record status remains visible after maintenance activity slows.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Missed review cadence, unresolved update backlog, or owner transition.</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Update participation status and disclose pending maintenance where material.</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freshness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ownership and withdrawal authority remain assigned and reachable.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approver's decision is reused after role or authority change.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Reorganization, executive transition, or delegated authority adjustment.</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authority maps and preserve succession approval records.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freshness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language reflects current scope, limitation, and evidence basis.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trust statement uses familiar language after operating conditions change.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Expanded reliance, customer reuse, adverse finding, or public-page update.</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representation language before reuse and retire stale phrasing.</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AI-influence freshness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summaries, routing, or documentation narratives remain visible and reviewed.</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Generated summaries appear coherent while caveats or uncertainty are compressed.</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Automation update, model-assisted prioritization change, or generated executive narrative.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AI influence and test whether documentation confidence has been inflated.</w:t>
            </w:r>
          </w:p>
        </w:tc>
      </w:tr>
    </w:tbl>
    <w:p>
      <w:pPr>
        <w:spacing w:after="20"/>
      </w:pPr>
    </w:p>
    <w:p>
      <w:r>
        <w:br w:type="page"/>
      </w:r>
    </w:p>
    <w:p>
      <w:pPr>
        <w:keepNext/>
        <w:spacing w:before="0" w:after="0" w:lineRule="auto" w:line="259"/>
        <w:jc w:val="left"/>
      </w:pPr>
      <w:r>
        <w:rPr>
          <w:rFonts w:ascii="Aptos" w:hAnsi="Aptos" w:eastAsia="Aptos"/>
          <w:b/>
          <w:color w:val="17365D"/>
          <w:sz w:val="18"/>
        </w:rPr>
        <w:t>Documentation Survivability Conditions</w:t>
      </w:r>
    </w:p>
    <w:tbl>
      <w:tblPr>
        <w:tblStyle w:val="TableGrid"/>
        <w:tblW w:type="dxa" w:w="11160"/>
        <w:tblLayout w:type="fixed"/>
        <w:tblLook w:firstColumn="1" w:firstRow="1" w:lastColumn="0" w:lastRow="0" w:noHBand="0" w:noVBand="1" w:val="04A0"/>
      </w:tblPr>
      <w:tblGrid>
        <w:gridCol w:w="1900"/>
        <w:gridCol w:w="2500"/>
        <w:gridCol w:w="2250"/>
        <w:gridCol w:w="2500"/>
        <w:gridCol w:w="20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Survivability Function</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Weak Form</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Durable Form</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Test</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Reconstructable basis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later reviewers to understand why documentation was issued or maintained.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status marker exists without supporting rationale.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includes evidence, authority, limitation, date, scope, and reassessment trigger.</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successor owner can explain the documentation without informal history.</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public signal</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Prevents visible trust signals from implying more confidence than supported.</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wording is broad and undated.</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Signal carries scope, effective period, and reliance boundary.</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relying party can determine what is and is not represented.</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Withdrawal capability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the institution to correct or retire documentation when support changes.</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remains visible because removal would create questions.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Withdrawal criteria, owner, communication path, and replacement status are defined.</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stale signal can be retired without governance confusion.</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portability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documentation support after system change, migration, or turnover.</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Artifacts exist but source meaning is unclear.</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maps show population, source, review method, and exclusions.</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 independent reviewer can determine what evidence proves.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Stewardship continuity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documentation accountable through role changes and organizational growth.</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Only one coordinator understands the documentation process.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 succession, review cadence, and escalation route are documented.</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maintenance survives personnel transition.</w:t>
            </w:r>
          </w:p>
        </w:tc>
      </w:tr>
    </w:tbl>
    <w:p>
      <w:pPr>
        <w:spacing w:after="20"/>
      </w:pPr>
    </w:p>
    <w:p>
      <w:pPr>
        <w:pStyle w:val="Heading2"/>
        <w:keepNext/>
      </w:pPr>
      <w:r>
        <w:t>Governance Legitimacy and Representation Discipline</w:t>
      </w:r>
    </w:p>
    <w:p>
      <w:pPr>
        <w:keepLines w:val="0"/>
        <w:spacing w:after="0" w:lineRule="auto" w:line="259" w:before="0"/>
        <w:jc w:val="left"/>
      </w:pPr>
      <w:r>
        <w:rPr>
          <w:rFonts w:ascii="Aptos" w:hAnsi="Aptos" w:eastAsia="Aptos"/>
          <w:b w:val="0"/>
          <w:color w:val="2F3A4A"/>
          <w:sz w:val="18"/>
        </w:rPr>
        <w:t>Governance legitimacy depends on the continuing relationship between visible registry record, actual stewardship, evidence quality, authority, and recalibration. Documentation becomes fragile when it is used as a broad symbol of institutional maturity without preserving the operational boundaries that make it credible. Representation discipline prevents that fragility by requiring documentation language to remain traceable to current governance reality.</w:t>
      </w:r>
    </w:p>
    <w:p>
      <w:pPr>
        <w:keepLines w:val="0"/>
        <w:spacing w:after="0" w:lineRule="auto" w:line="259" w:before="0"/>
        <w:jc w:val="left"/>
      </w:pPr>
      <w:r>
        <w:rPr>
          <w:rFonts w:ascii="Aptos" w:hAnsi="Aptos" w:eastAsia="Aptos"/>
          <w:b w:val="0"/>
          <w:color w:val="2F3A4A"/>
          <w:sz w:val="18"/>
        </w:rPr>
        <w:t>Institutions can maintain trust while acknowledging limitation. A qualified documentation statement may be stronger than an unqualified assertion because it preserves the link between confidence and evidence. The framework therefore treats limitation, reassessment, and withdrawal as governance disciplines, not reputational weaknesses. Trust preservation requires the institution to keep documentation honest when operations change, evidence ages, or reliance expands.</w:t>
      </w:r>
    </w:p>
    <w:p>
      <w:pPr>
        <w:keepNext/>
        <w:spacing w:before="0" w:after="0" w:lineRule="auto" w:line="259"/>
        <w:jc w:val="left"/>
      </w:pPr>
      <w:r>
        <w:rPr>
          <w:rFonts w:ascii="Aptos" w:hAnsi="Aptos" w:eastAsia="Aptos"/>
          <w:b/>
          <w:color w:val="17365D"/>
          <w:sz w:val="18"/>
        </w:rPr>
        <w:t>Governance Signaling Failure Patterns</w:t>
      </w:r>
    </w:p>
    <w:tbl>
      <w:tblPr>
        <w:tblStyle w:val="TableGrid"/>
        <w:tblW w:type="dxa" w:w="11160"/>
        <w:tblLayout w:type="fixed"/>
        <w:tblLook w:firstColumn="1" w:firstRow="1" w:lastColumn="0" w:lastRow="0" w:noHBand="0" w:noVBand="1" w:val="04A0"/>
      </w:tblPr>
      <w:tblGrid>
        <w:gridCol w:w="2000"/>
        <w:gridCol w:w="2400"/>
        <w:gridCol w:w="2350"/>
        <w:gridCol w:w="2200"/>
        <w:gridCol w:w="2210"/>
      </w:tblGrid>
      <w:tr>
        <w:trPr>
          <w:tblHeader w:val="true"/>
          <w:cantSplit/>
        </w:trPr>
        <w:tc>
          <w:tcPr>
            <w:tcW w:type="dxa" w:w="20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How It Appears</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Underlying Weakness</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Consequence</w:t>
            </w:r>
          </w:p>
        </w:tc>
        <w:tc>
          <w:tcPr>
            <w:tcW w:type="dxa" w:w="22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Corrective Discipline</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overextension</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narrow governance signal is reused to imply broad organizational maturity.</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and reliance boundaries were not attached to the signal.</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rely on confidence beyond support.</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Reissue documentation with explicit boundary and affected audience review.</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Stale public posture</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registry record page remains accessible after evidence maintenance has slowed.</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visibility is not tied to freshness controls.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Visible confidence outlives operational stewardship.</w:t>
            </w:r>
          </w:p>
        </w:tc>
        <w:tc>
          <w:tcPr>
            <w:tcW w:type="dxa" w:w="22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Link public status to review cadence, owner confirmation, and retirement criteria.</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inflation</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Framework involvement is described as if it proves full governance maturity.</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maintenance, confidence readiness, and effectiveness are not distinguished.</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weakens when exceptions or drift become visible.</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participation language that identifies maturity stage and unresolved limits.</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compression</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Summaries present a clean conclusion while caveats, exclusions, or uncertainty disappear.</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interpretation is separated from source limitation.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Relying parties receive confidence without context.</w:t>
            </w:r>
          </w:p>
        </w:tc>
        <w:tc>
          <w:tcPr>
            <w:tcW w:type="dxa" w:w="22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limitation notes and require reviewer challenge of synthesized narratives.</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ambiguity</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remains active but no current role owns qualification or withdrawal.</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Ownership changed without transition of documentation authority.</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Signals persist because no one is accountable for correction.</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authority map and assign withdrawal decision rights.</w:t>
            </w:r>
          </w:p>
        </w:tc>
      </w:tr>
    </w:tbl>
    <w:p>
      <w:pPr>
        <w:spacing w:after="20"/>
      </w:pPr>
    </w:p>
    <w:p>
      <w:pPr>
        <w:keepNext/>
        <w:spacing w:before="0" w:after="0" w:lineRule="auto" w:line="259"/>
        <w:jc w:val="left"/>
      </w:pPr>
      <w:r>
        <w:rPr>
          <w:rFonts w:ascii="Aptos" w:hAnsi="Aptos" w:eastAsia="Aptos"/>
          <w:b/>
          <w:color w:val="17365D"/>
          <w:sz w:val="18"/>
        </w:rPr>
        <w:t>Trust Calibration Principles</w:t>
      </w:r>
    </w:p>
    <w:tbl>
      <w:tblPr>
        <w:tblStyle w:val="TableGrid"/>
        <w:tblW w:type="dxa" w:w="11160"/>
        <w:tblLayout w:type="fixed"/>
        <w:tblLook w:firstColumn="1" w:firstRow="1" w:lastColumn="0" w:lastRow="0" w:noHBand="0" w:noVBand="1" w:val="04A0"/>
      </w:tblPr>
      <w:tblGrid>
        <w:gridCol w:w="1900"/>
        <w:gridCol w:w="2500"/>
        <w:gridCol w:w="2300"/>
        <w:gridCol w:w="2250"/>
        <w:gridCol w:w="22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Function</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Indicator</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Calibration Failure</w:t>
            </w:r>
          </w:p>
        </w:tc>
        <w:tc>
          <w:tcPr>
            <w:tcW w:type="dxa" w:w="22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Response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follows evidence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confidence proportional to what can be demonstrated.</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language references current evidence basis and limitation.</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language remains unchanged after evidence scope narrows.</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Adjust wording, refresh evidence, or qualify reliance.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follows stewardship</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Ensures public signals remain connected to active governance maintenance.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status is reviewed alongside ownership, evidence, and change triggers.</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signal remains visible because it is reputationally useful.</w:t>
            </w:r>
          </w:p>
        </w:tc>
        <w:tc>
          <w:tcPr>
            <w:tcW w:type="dxa" w:w="22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Treat visible status as a controlled representation.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follows audience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Prevents one documentation statement from being reused across unlike contexts.</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executive, public, and investor uses carry appropriate boundaries.</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Internal language is copied into external confidence without review.</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Route reuse through representation review.</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Maturity follows behavior</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Distinguishes governance posture from actual operating discipline.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Reviews test workflow alignment, exceptions, drift, and decision records.</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Activity is mistaken for maturity.</w:t>
            </w:r>
          </w:p>
        </w:tc>
        <w:tc>
          <w:tcPr>
            <w:tcW w:type="dxa" w:w="22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evidence of operation, not merely governance participation.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follows correction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credibility by making recalibration visible when conditions change.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Limitations, withdrawals, and updates are documented and communicated where needed.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hides uncertainty until external challenge occurs.</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qualification and recalibration as stewardship evidence.</w:t>
            </w:r>
          </w:p>
        </w:tc>
      </w:tr>
    </w:tbl>
    <w:p>
      <w:pPr>
        <w:spacing w:after="20"/>
      </w:pPr>
    </w:p>
    <w:p>
      <w:pPr>
        <w:pStyle w:val="Heading2"/>
        <w:keepNext/>
      </w:pPr>
      <w:r>
        <w:t>Documentation and Institutional Trust Operating Standard</w:t>
      </w:r>
    </w:p>
    <w:p>
      <w:pPr>
        <w:keepLines w:val="0"/>
        <w:spacing w:after="0" w:lineRule="auto" w:line="259" w:before="0"/>
        <w:jc w:val="left"/>
      </w:pPr>
      <w:r>
        <w:rPr>
          <w:rFonts w:ascii="Aptos" w:hAnsi="Aptos" w:eastAsia="Aptos"/>
          <w:b w:val="0"/>
          <w:color w:val="2F3A4A"/>
          <w:sz w:val="18"/>
        </w:rPr>
        <w:t>Documentation under this framework shall be maintained as a bounded governance signal. It shall identify participation in a governed stewardship process, evidence-linked accountability, and the existence of maintained governance disciplines. Documentation shall not be presented or interpreted as any certification, absence of risk, permanent confidence, or proof that all operational conditions remain aligned after issuance.</w:t>
      </w:r>
    </w:p>
    <w:p>
      <w:pPr>
        <w:keepLines w:val="0"/>
        <w:spacing w:after="0" w:lineRule="auto" w:line="259" w:before="0"/>
        <w:jc w:val="left"/>
      </w:pPr>
      <w:r>
        <w:rPr>
          <w:rFonts w:ascii="Aptos" w:hAnsi="Aptos" w:eastAsia="Aptos"/>
          <w:b w:val="0"/>
          <w:color w:val="2F3A4A"/>
          <w:sz w:val="18"/>
        </w:rPr>
        <w:t>Organizations implementing this framework shall preserve the relationship between documentation, evidence, authority, scope, freshness, and reliance audience. Material changes in workflow, evidence source, governance ownership, public representation, customer reliance, vendor dependency, AI-assisted process influence, or operating scale shall trigger reassessment of whether the registry record signal remains accurate, proportionate, and defensible.</w:t>
      </w:r>
    </w:p>
    <w:p>
      <w:pPr>
        <w:keepLines w:val="0"/>
        <w:spacing w:after="0" w:lineRule="auto" w:line="259" w:before="0"/>
        <w:jc w:val="left"/>
      </w:pPr>
      <w:r>
        <w:rPr>
          <w:rFonts w:ascii="Aptos" w:hAnsi="Aptos" w:eastAsia="Aptos"/>
          <w:b w:val="0"/>
          <w:color w:val="2F3A4A"/>
          <w:sz w:val="18"/>
        </w:rPr>
        <w:t>Public registry record signals shall be governed as controlled representations. Their language, location, status, effective date, limitation, and withdrawal criteria shall be maintained with the same discipline applied to other governance artifacts. A visible trust signal shall not be allowed to remain broader, fresher, or more certain than the evidence and stewardship process beneath it.</w:t>
      </w:r>
    </w:p>
    <w:p>
      <w:pPr>
        <w:keepLines w:val="0"/>
        <w:spacing w:after="0" w:lineRule="auto" w:line="259" w:before="0"/>
        <w:jc w:val="left"/>
      </w:pPr>
      <w:r>
        <w:rPr>
          <w:rFonts w:ascii="Aptos" w:hAnsi="Aptos" w:eastAsia="Aptos"/>
          <w:b w:val="0"/>
          <w:color w:val="2F3A4A"/>
          <w:sz w:val="18"/>
        </w:rPr>
        <w:t>Institutional trust shall be preserved through calibration rather than overstatement. Where uncertainty exists, the organization shall qualify the documentation position, identify the limitation, preserve the evidence basis, and route unresolved exposure through accountable governance authority. Qualified confidence that remains evidence-linked is more durable than unqualified confidence that cannot survive review.</w:t>
      </w:r>
    </w:p>
    <w:p>
      <w:pPr>
        <w:keepLines w:val="0"/>
        <w:spacing w:after="0" w:lineRule="auto" w:line="259" w:before="0"/>
        <w:jc w:val="left"/>
      </w:pPr>
      <w:r>
        <w:rPr>
          <w:rFonts w:ascii="Aptos" w:hAnsi="Aptos" w:eastAsia="Aptos"/>
          <w:b w:val="0"/>
          <w:color w:val="2F3A4A"/>
          <w:sz w:val="18"/>
        </w:rPr>
        <w:t>The operating standard for documentation is survivable trust. A documentation system is credible when future operators, reviewers, executives, and relying parties can determine what was documented, why it was reasonable, what it did not prove, what evidence supported it, who had authority, what changed afterward, and how the institution recalibrated when governance reality evolved.</w:t>
      </w:r>
    </w:p>
    <w:sectPr w:rsidR="00FC693F" w:rsidRPr="0006063C" w:rsidSect="00034616">
      <w:footerReference w:type="default" r:id="rId9"/>
      <w:pgSz w:w="12240" w:h="15840"/>
      <w:pgMar w:top="1037" w:right="835" w:bottom="893"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Rule="auto" w:line="259"/>
      <w:jc w:val="left"/>
    </w:pPr>
    <w:r>
      <w:rPr>
        <w:rFonts w:ascii="Aptos" w:hAnsi="Aptos" w:eastAsia="Aptos"/>
        <w:b w:val="0"/>
        <w:color w:val="66758A"/>
        <w:sz w:val="16"/>
      </w:rPr>
      <w:t>Paladin Compliance Governance Binder | Front Matter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4"/>
    </w:pPr>
    <w:rPr>
      <w:rFonts w:ascii="Aptos" w:hAnsi="Aptos" w:eastAsia="Aptos"/>
      <w:color w:val="2F3A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eastAsia="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w:hAnsi="Aptos" w:eastAsia="Aptos"/>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