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confidence,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registry record, confidence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confidence as connected governance infrastructure.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confidence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confidence than the institution can support.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Confidence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evidence review,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confidence deadline the control supports.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registry record page remains current-looking after evidence maintenance slows.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confidence.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remains tied to scope, evidence, freshness, and limitation.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confidence.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should be qualified when evidence coverage is uncertain.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confidence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confidence,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confidence language remains bounded and evidence-supported.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exceeds support.</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confidence language, and public trust signals relate to one another. Coherence is lost when local functions adapt independently, legacy controls persist after workflows migrate, committees continue after practical authority shifts, or confidence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becomes difficult to defend.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Evidence-to-confidence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confidence relies on narrow or stale evidence.</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confidence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survives after evidence freshness or population coverage changes.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confidence,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confidence.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confidence remained bounded, and how the institution recalibrated when operational reality evolved. This orientation provides the basis for entering the operational sections of the binder as governance doctrine rather than passive documentation.</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