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1.17 Governance Monitoring, Validation, and Institutional Self-Assessment</w:t>
      </w:r>
    </w:p>
    <w:p>
      <w:pPr>
        <w:pStyle w:val="BodyText"/>
        <w:keepNext w:val="0"/>
      </w:pPr>
      <w:r>
        <w:t>This governance framework treats monitoring as the institutional capacity to detect whether governance mechanisms continue to describe, influence, and constrain operational reality. Monitoring is not limited to status collection, meeting attendance, dashboard review, or recurring certification. It requires an active sensing system capable of identifying degradation in control operation, evidence quality, decision authority, escalation behavior, representation accuracy, dependency visibility, and governance assumptions.</w:t>
      </w:r>
    </w:p>
    <w:p>
      <w:pPr>
        <w:pStyle w:val="BodyText"/>
        <w:keepNext w:val="0"/>
      </w:pPr>
      <w:r>
        <w:t>Organizations implementing this framework are expected to distinguish monitoring from validation. Monitoring observes signals that may indicate governance health or weakness. Validation tests whether those signals correspond to actual operating conditions. Oversight interprets the results and determines whether action, escalation, qualification, redesign, or confidence recalibration is required. Where these functions collapse into a single reporting ritual, governance may continue to generate activity while losing the ability to recognize its own deterioration.</w:t>
      </w:r>
    </w:p>
    <w:p>
      <w:pPr>
        <w:pStyle w:val="BodyText"/>
        <w:keepNext w:val="0"/>
      </w:pPr>
      <w:r>
        <w:t>Institutional self-assessment is necessary but structurally vulnerable. A governance system often assesses itself through the same records, committees, owners, dashboards, and assumptions that may already be drifting. Positive reporting can reduce skepticism, repeated completion can be mistaken for effectiveness, and familiar metrics can become a substitute for reality testing. Healthy governance therefore requires challenge capacity, operational verification, and disciplined willingness to treat comfortable signals as potentially incomplete.</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Governance monitoring under this framework is effective only when it can detect the difference between apparent order and actual control. A monitoring program that confirms documents exist, meetings occurred, dashboards remained green, or owners completed attestations may still fail if it does not test whether the governed process, evidence population, authority route, and reliance condition remain aligned with operating reality.</w:t>
            </w:r>
          </w:p>
        </w:tc>
      </w:tr>
    </w:tbl>
    <w:p>
      <w:pPr>
        <w:spacing w:after="40"/>
      </w:pPr>
    </w:p>
    <w:p>
      <w:pPr>
        <w:pStyle w:val="Heading2"/>
        <w:keepNext/>
        <w:pageBreakBefore w:val="0"/>
      </w:pPr>
      <w:r>
        <w:t>Monitoring, Validation, and Governance Understanding</w:t>
      </w:r>
    </w:p>
    <w:p>
      <w:pPr>
        <w:pStyle w:val="BodyText"/>
        <w:keepNext w:val="0"/>
      </w:pPr>
      <w:r>
        <w:t>The monitoring architecture established by this binder separates observation from interpretation. Observation captures events, indicators, artifacts, exceptions, and status changes. Interpretation determines whether those signals reveal deterioration, false confidence, drift, or unmanaged exposure. Governance understanding exists only when the institution can explain what its monitoring signals mean, what they exclude, how they may be distorted, and when they require validation through direct operational testing.</w:t>
      </w:r>
    </w:p>
    <w:p>
      <w:pPr>
        <w:pStyle w:val="BodyText"/>
        <w:keepNext w:val="0"/>
      </w:pPr>
      <w:r>
        <w:t>The operational challenge is asymmetrical. Governance degradation can remain hidden while activity appears normal. A committee can meet, a control owner can attest, a dashboard can remain green, and a review calendar can be satisfied while the governed workflow has migrated, evidence has become stale, exceptions have normalized, or an AI-assisted process has changed prioritization logic. Monitoring must therefore be designed to challenge continuity assumptions rather than merely record continuity artifacts.</w:t>
      </w:r>
    </w:p>
    <w:p>
      <w:pPr>
        <w:pStyle w:val="Heading3"/>
        <w:keepNext/>
      </w:pPr>
      <w:r>
        <w:t>Governance Monitoring Taxonomy</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Monitoring Form</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Can Detect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Commonly Misses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Need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held, reviews completed, attestations submitted, issue tickets closed, or evidence files uploaded.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Breakdown in expected governance routines, missed cadence, or failure to produce required artifacts.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Whether the completed activity affected actual exposure, corrected weak controls, or preserved decision accountability.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Sample completed activities against operational outcomes and confirm that closure criteria were decision-grade.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Control-performance monitoring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completion rates, exception counts, timeliness measures, and recurring operating metrics.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underperformance, late execution, repeated exception categories, or unusual volume changes.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Population mismatch, control-to-process divergence, weak detection logic, and operational workarounds outside the metric boundary.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Reconcile metrics to source populations, changed workflows, and process owner testimony.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Evidence-quality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 freshness, source traceability, reviewer record, metadata completeness, and evidence-to-obligation alignment.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decay, orphaned artifacts, stale support, and weak reconstruction capability.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Whether the underlying control remains appropriate for the current operating process.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evidence against live process behavior and recent change events.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Oversight-effectiveness monitoring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 action tracking, escalation outcomes, challenge records, decision logs, and unresolved dependency age.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Whether oversight forums are producing decisions rather than preserving discussion records.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Subtle authority gaps, committee diffusion, and executive late-entry conditions.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Compare governance issues that were observed with the institutional decisions that actually followed.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responses, public trust statements, board narratives, maturity claims, and confidence-bearing summaries.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 confidence, scope drift, confidence inflation, and external reliance expansion.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Informal reuse, AI-generated summarization, and audience interpretation beyond approved boundaries.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externally relied-upon language back to evidence, limitation, approval, and freshness conditions.</w:t>
            </w:r>
          </w:p>
        </w:tc>
      </w:tr>
    </w:tbl>
    <w:p>
      <w:pPr>
        <w:spacing w:after="60"/>
      </w:pPr>
    </w:p>
    <w:p>
      <w:pPr>
        <w:pStyle w:val="Heading3"/>
        <w:keepNext/>
      </w:pPr>
      <w:r>
        <w:t>Governance Signal Quality Distinctions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Type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Value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Interpretation Risk</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Signal Example</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Strong Signal Example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Confirms a required governance step occurred and creates a basic accountability marker.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may be read as effectiveness when no outcome was tested.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access review is marked complete even though late-remediation items remain outside the closure record.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review record shows population, reviewer basis, exceptions, remediation owners, and unresolved exposure routing.</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signal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visible deviation, control weakness, missed timing, or unresolved dependency.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Low exception volume can indicate weak detection rather than strong control operation.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dashboard shows no material exceptions after an intake channel moved to an unmonitored queue.</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trends are reconciled to source volume, process changes, and independent sampling.</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Trend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Shows directional movement across time and can reveal gradual deterioration.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Stable trends may mask changed denominator, population exclusion, or metric survivorship.</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Quarterly completion rates remain unchanged while the underlying workflow doubles in volume.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Trend reports disclose population shifts, methodology changes, and excluded process variants.</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signal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Supports confidence in governance posture when tied to evidence and authority.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confidence can outlast the evidence basis that originally made it defensible.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label remains unchanged after control ownership transfers to a new function.</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confidence statement includes evidence date, scope, limitation, owner, and refresh trigger.</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Shows that governance was tested through disagreement, inquiry, contradiction, or independent review.</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records can become symbolic if they do not affect decisions.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committee asks questions but records no decision, condition, or required remediation.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outcomes change scope, escalation, control design, representation language, or residual-exposure treatment.</w:t>
            </w:r>
          </w:p>
        </w:tc>
      </w:tr>
    </w:tbl>
    <w:p>
      <w:pPr>
        <w:spacing w:after="60"/>
      </w:pPr>
    </w:p>
    <w:p>
      <w:pPr>
        <w:pStyle w:val="Heading2"/>
        <w:keepNext/>
        <w:pageBreakBefore w:val="0"/>
      </w:pPr>
      <w:r>
        <w:t>Governance Degradation and Blind-Spot Detection</w:t>
      </w:r>
    </w:p>
    <w:p>
      <w:pPr>
        <w:pStyle w:val="BodyText"/>
        <w:keepNext w:val="0"/>
      </w:pPr>
      <w:r>
        <w:t>Governance systems rarely degrade all at once. Degradation appears first as interpretive weakness: recurring issues stop producing urgency, exceptions become expected, review artifacts become familiar, and reporting language becomes less connected to operational consequence. Monitoring must identify not only broken controls, but the conditions under which the institution stops noticing that governance has become less informative.</w:t>
      </w:r>
    </w:p>
    <w:p>
      <w:pPr>
        <w:pStyle w:val="BodyText"/>
        <w:keepNext w:val="0"/>
      </w:pPr>
      <w:r>
        <w:t>Blind spots develop where governance relies on signals that no longer represent material operating reality. The most significant blind spots often sit outside the field of ordinary review: unmonitored queues, informal routing, inherited vendor assumptions, AI-assisted prioritization, data that looks complete but excludes a changed population, or executive summaries that compress uncertainty into stable posture language.</w:t>
      </w:r>
    </w:p>
    <w:p>
      <w:pPr>
        <w:pStyle w:val="Heading3"/>
        <w:keepNext/>
      </w:pPr>
      <w:r>
        <w:t>Governance Degradation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Observed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Underlying Governance Risk</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It Persists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Monitoring Response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Metric-to-reality divergence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Reported performance remains stable while operational staff describe changed workflows, rising manual intervention, or untracked exceptions.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measuring a surviving metric rather than the current control environment.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Stable data reduces pressure to test whether the denominator changed.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population reconciliation and operational walk-through testing for persistent green indicators.</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ritualization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Reviews occur on schedule with minimal challenge, repeated language, and predictable conclusions.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review becomes procedural confirmation instead of reality testing.</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Familiar artifacts lower reviewer skepticism and make dissent appear inefficient.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Add rotating challenge questions, contradiction checks, and evidence sampling outside the normal packet.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normalization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exceptions recur without escalation because they are considered operationally manageable.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weakness becomes part of the operating model without accountable acceptance of exposure.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 treat repeat exceptions as background noise rather than evidence of design failure.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 exception age, recurrence, workaround dependency, and whether repeated items changed confidence language.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confidence decay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continue to be collected but reviewers cannot reconstruct source logic, population boundaries, or decision rationale.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exists but no longer supports defensible governance judgment.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File presence is easier to confirm than evidence meaning.</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 reconstruction by asking a reviewer unfamiliar with the process to explain the support basis.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fatigue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shorter, delayed, bundled, or routed informally to avoid formal queue burden.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loses sensitivity to governance signals that require difficult decisions.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issue volume makes escalation appear disruptive rather than protective.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escalation latency, issue bundling, bypass patterns, and unresolved exposure aging.</w:t>
            </w:r>
          </w:p>
        </w:tc>
      </w:tr>
    </w:tbl>
    <w:p>
      <w:pPr>
        <w:spacing w:after="60"/>
      </w:pPr>
    </w:p>
    <w:p>
      <w:pPr>
        <w:pStyle w:val="Heading3"/>
        <w:keepNext/>
      </w:pPr>
      <w:r>
        <w:t>Monitoring Blind Spot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Blind Spot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Where It Forms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Monitoring Sees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Monitoring Misses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Detection Method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Unobserved process variant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team creates a practical workflow outside the documented procedure to meet timing pressure.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process remains complete and control evidence continues to arrive.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work is occurring through a different path with different authority and evidence capture.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Compare actual work queues, handoffs, and exception handling against documented workflow maps.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Signal survivorship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Only indicators that remain easy to measure continue appearing in governance reports.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Consistent dashboards and historical trends.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forms of exposure that do not fit existing data structures.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periodic challenge of abandoned, unavailable, and newly relevant signals.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summary compression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 monitoring findings are condensed into brief oversight narratives.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Concise status, maturity language, and high-level issue themes.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Contradiction, uncertainty, sampling limitation, and unresolved dependency.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summaries against source artifacts and identify omitted decision-relevant caveats.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Self-assessment capture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assessed function controls the narrative, evidence selection, and interpretation of its own effectiveness.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Organized self-reporting and apparently knowledgeable explanations.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Defensive framing, omitted weak evidence, and minimized dependency risk.</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Introduce independent sampling and require assessor access to source systems and exception history.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AI-mediated filtering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Automated scoring, anomaly detection, or summary generation narrows what reviewers examine.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Prioritized issues, synthesized alerts, and reduced monitoring volume.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Low-probability exposure, weak source quality, and categories not recognized by the model.</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Validate AI-filtered outputs against raw populations, adverse samples, and known operating changes.</w:t>
            </w:r>
          </w:p>
        </w:tc>
      </w:tr>
    </w:tbl>
    <w:p>
      <w:pPr>
        <w:spacing w:after="60"/>
      </w:pPr>
    </w:p>
    <w:p>
      <w:r>
        <w:br w:type="page"/>
      </w:r>
    </w:p>
    <w:p>
      <w:pPr>
        <w:pStyle w:val="Heading3"/>
        <w:keepNext/>
      </w:pPr>
      <w:r>
        <w:t>Governance Observability Failures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Apparent Visibility</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Actual Observability Gap</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Consequence</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Logic</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 visibility illusion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sees current metrics, status colors, and trend lines.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dashboard does not expose excluded populations, changed source logic, or manual override conditions.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confidence rises while material activity leaves the observed field.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dashboard lineage, denominator review, exception overlay, and change-event annotations.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repository completeness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folders are populated and organized by period, owner, and control area.</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repository does not show whether the artifacts still correspond to the operating process.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becomes portable but not meaningful.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Tie repositories to process maps, control scope, source systems, and reviewer reconstruction tests.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 packet sufficiency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forums receive polished reports, action trackers, and management updates.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Packets may exclude dissent, unresolved dependencies, or operational narratives that challenge status conclusions.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Committees approve or defer based on curated visibility.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Add independent issue sampling and require disclosure of excluded or unresolved items.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coverage assumption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Known controls appear monitored because each has an assigned owner and reporting cadence.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AI-assisted workflows, vendor handoffs, or local workarounds are not assigned to the monitoring population.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Unmonitored governance exposure accumulates while the framework appears complete.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scope to workflow inventories, change registers, and operational interviews.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Interpretive opacity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Signals are available, but reviewers lack the context to understand their governance meaning.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Data abundance substitutes for institutional understanding.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Issues are seen but not escalated because their consequence is unclear.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Pair signals with interpretation criteria, escalation thresholds, and accountable decision routes.</w:t>
            </w:r>
          </w:p>
        </w:tc>
      </w:tr>
    </w:tbl>
    <w:p>
      <w:pPr>
        <w:spacing w:after="60"/>
      </w:pPr>
    </w:p>
    <w:p>
      <w:pPr>
        <w:pStyle w:val="Heading2"/>
        <w:keepNext/>
        <w:pageBreakBefore w:val="0"/>
      </w:pPr>
      <w:r>
        <w:t>Institutional Self-Assessment and Review Integrity</w:t>
      </w:r>
    </w:p>
    <w:p>
      <w:pPr>
        <w:pStyle w:val="BodyText"/>
        <w:keepNext w:val="0"/>
      </w:pPr>
      <w:r>
        <w:t>Self-assessment is a governance capability and a governance risk. It allows the institution to inspect its own assumptions before external challenge occurs, but it also invites confirmation bias, defensive evidence selection, and overreliance on familiar narratives. A self-assessment program that cannot produce uncomfortable findings is not a validation mechanism; it is a documentation exercise.</w:t>
      </w:r>
    </w:p>
    <w:p>
      <w:pPr>
        <w:pStyle w:val="BodyText"/>
        <w:keepNext w:val="0"/>
      </w:pPr>
      <w:r>
        <w:t>Review integrity depends on independence of interpretation, access to source evidence, freedom to identify uncertainty, and authority to route findings beyond the assessed function. The institution does not need every validation activity to be performed by a separate confidence group. It does need the review design to prevent the owner of a process from becoming the sole interpreter of whether that process remains governable.</w:t>
      </w:r>
    </w:p>
    <w:p>
      <w:pPr>
        <w:pStyle w:val="Heading3"/>
        <w:keepNext/>
      </w:pPr>
      <w:r>
        <w:t>Institutional Self-Assessment Failure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Assessment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Bias Introduced</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Exposure</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Countermeasure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Self-protective framing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Assessed teams emphasize progress, resource constraints, and partial remediation while minimizing unresolved exposure.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review becomes sympathetic to operational difficulty rather than calibrated to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receives reassurance when decision-grade uncertainty remains.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residual-exposure language and independent challenge of unresolved dependencies.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Artifact-first assessment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confirm the presence of policies, minutes, evidence, and trackers before testing operational effect.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Documentation completeness is confused with governance effectiveness.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mature-looking record survives while actual control behavior diverges.</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Start assessment from live process sampling and use documents to explain observed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Historical acceptance bias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favorable reviews are treated as evidence that current governance remains sound.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assessment inherits old confidence without retesting changed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drift persists because past acceptance reduces inquiry depth.</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change-event review and explicit challenge of prior-year assumptions.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Owner narrative dependence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Assessment conclusions rely heavily on explanations from the same role responsible for the process.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knowledge substitutes for independent evidence.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or conflict can make the conclusion unreconstructable.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Corroborate owner statements through source evidence, samples, dependency owners, and exception history.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minimization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or aged exceptions are described as managed, known, or operationally contained.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Familiar weakness loses governance significance.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exposure becomes accepted without accountable decision authority.</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recurrence, age, cumulative exposure, and whether confidence language changed.</w:t>
            </w:r>
          </w:p>
        </w:tc>
      </w:tr>
    </w:tbl>
    <w:p>
      <w:pPr>
        <w:spacing w:after="60"/>
      </w:pPr>
    </w:p>
    <w:p>
      <w:pPr>
        <w:pStyle w:val="Heading3"/>
        <w:keepNext/>
      </w:pPr>
      <w:r>
        <w:t>Self-Assessment Bias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50"/>
            <w:shd w:fill="E7ECF3"/>
            <w:tcMar>
              <w:top w:w="105" w:type="dxa"/>
              <w:start w:w="92" w:type="dxa"/>
              <w:bottom w:w="105" w:type="dxa"/>
              <w:end w:w="92" w:type="dxa"/>
            </w:tcMar>
            <w:vAlign w:val="center"/>
          </w:tcPr>
          <w:p>
            <w:pPr>
              <w:spacing w:after="0" w:line="250" w:lineRule="auto"/>
            </w:pPr>
            <w:r/>
            <w:r>
              <w:rPr>
                <w:rFonts w:ascii="Aptos" w:hAnsi="Aptos"/>
                <w:b/>
                <w:color w:val="17365D"/>
                <w:sz w:val="17"/>
              </w:rPr>
              <w:t>Bias 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Enters the Assessment</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Warning Sign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Effect on Governance Judgment</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Control</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Confirmation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search for evidence supporting the expected maturity position.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Contradictory artifacts are described as isolated or not representative.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confidence accumulates without proportional evidence challenge.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adverse sample selection and documentation of evidence that did not support the expected conclusion.</w:t>
            </w:r>
          </w:p>
        </w:tc>
      </w:tr>
      <w:tr>
        <w:trPr>
          <w:cantSplit/>
        </w:trPr>
        <w:tc>
          <w:tcPr>
            <w:tcW w:type="dxa" w:w="19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Availability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Recent incidents, visible dashboards, or familiar controls dominate review attention.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Less visible workflows receive shallow testing or no testing.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overlooks quiet exposure categories that lack recent visibility.</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Set coverage requirements based on risk, dependency, and change history rather than recent salience.</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Assessment focuses on whether governance steps were completed.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dates receive more attention than outcome quality.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overvalues procedural activity and undervalues effectiveness.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effectiveness questions for each completed step and test whether it changed decision or exposure handling.</w:t>
            </w:r>
          </w:p>
        </w:tc>
      </w:tr>
      <w:tr>
        <w:trPr>
          <w:cantSplit/>
        </w:trPr>
        <w:tc>
          <w:tcPr>
            <w:tcW w:type="dxa" w:w="19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Deference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owners or long-tenured specialists frame the interpretation of weak signals.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challenge decreases when a knowledgeable individual explains the issue confidently.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dependency on key individuals remains hidden.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corroboration and succession-sensitive reconstruction testing.</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Normalization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Persistent deficiencies are treated as ordinary operating conditions.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use language such as longstanding, known, or business accepted without decision record.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Unaccepted exposure is absorbed into governance posture.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recurring deficiencies unless accountable risk acceptance is documented.</w:t>
            </w:r>
          </w:p>
        </w:tc>
      </w:tr>
    </w:tbl>
    <w:p>
      <w:pPr>
        <w:spacing w:after="60"/>
      </w:pPr>
    </w:p>
    <w:p>
      <w:pPr>
        <w:pStyle w:val="Heading3"/>
        <w:keepNext/>
      </w:pPr>
      <w:r>
        <w:t>Review Integrity Degradation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Integrity Loss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Warning</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Restoration Method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dependency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reviewers interpret the same evidence across repeated cycles.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Familiarity reduces challenge and makes assumptions invisible.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become shorter, repeated, and less specific over time.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Rotate reviewers, introduce peer challenge, and require fresh reconstruction of evidence basis.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Question set stagnation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Assessment templates remain unchanged while operations, vendors, AI tools, or control populations evolve.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review stops asking questions that match current reality.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workflows are described in narrative but not reflected in validation tests.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validation criteria after change events and test for emergent process variants.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Closure pressure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Reviews are timed to reporting deadlines, customer requests, or committee calendars.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Ambiguous findings are softened to avoid delaying governance deliverables.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Open questions are converted into follow-up items without affecting confidence.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Separate reporting deadlines from validation sufficiency and escalate unresolved decision points.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familiarity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recognize artifacts and assume they remain meaningful.</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logic, population boundaries, and limitation language are not retested.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accepted because it resembles prior-year support.</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source-to-process walk-throughs and metadata checks for recurring evidence.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Challenge-function erosion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questions are answered, but findings rarely change decisions or resource allocation.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becomes performative and loses institutional consequence.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Committees praise thoroughness while remediation remains unchanged.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whether challenges produce decisions, escalations, control redesign, or representation changes.</w:t>
            </w:r>
          </w:p>
        </w:tc>
      </w:tr>
    </w:tbl>
    <w:p>
      <w:pPr>
        <w:spacing w:after="60"/>
      </w:pPr>
    </w:p>
    <w:p>
      <w:pPr>
        <w:pStyle w:val="Heading2"/>
        <w:keepNext/>
        <w:pageBreakBefore w:val="0"/>
      </w:pPr>
      <w:r>
        <w:t>Validation Pathways and Operational Reality Testing</w:t>
      </w:r>
    </w:p>
    <w:p>
      <w:pPr>
        <w:pStyle w:val="BodyText"/>
        <w:keepNext w:val="0"/>
      </w:pPr>
      <w:r>
        <w:t>Validation tests whether governance understanding is true enough to support decision, confidence, and reliance. It must test reality rather than documentation alone. The validation pathway may begin with a report, but it must be capable of reaching the process, population, owner, evidence source, exception route, and decision authority that give the report governance meaning.</w:t>
      </w:r>
    </w:p>
    <w:p>
      <w:pPr>
        <w:pStyle w:val="BodyText"/>
        <w:keepNext w:val="0"/>
      </w:pPr>
      <w:r>
        <w:t>Operational reality testing is asymmetrical because the most important evidence may sit outside the official packet. A queue that operators use under deadline pressure, a spreadsheet used to reconcile system gaps, a vendor response that staff treat as authoritative, or an AI-generated prioritization list may govern behavior more directly than the documented control. Validation must therefore include enough field-level inquiry to detect when formal governance has become a representation layer over a different operating model.</w:t>
      </w:r>
    </w:p>
    <w:p>
      <w:pPr>
        <w:pStyle w:val="Heading3"/>
        <w:keepNext/>
      </w:pPr>
      <w:r>
        <w:t>Governance Validation Pathways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Pathway</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Question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Source</w:t>
            </w:r>
          </w:p>
        </w:tc>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Strength</w:t>
            </w:r>
          </w:p>
        </w:tc>
        <w:tc>
          <w:tcPr>
            <w:tcW w:type="dxa" w:w="1860"/>
            <w:shd w:fill="E7ECF3"/>
            <w:tcMar>
              <w:top w:w="105" w:type="dxa"/>
              <w:start w:w="92" w:type="dxa"/>
              <w:bottom w:w="105" w:type="dxa"/>
              <w:end w:w="92" w:type="dxa"/>
            </w:tcMar>
            <w:vAlign w:val="center"/>
          </w:tcPr>
          <w:p>
            <w:pPr>
              <w:spacing w:after="0" w:line="250" w:lineRule="auto"/>
            </w:pPr>
            <w:r/>
            <w:r>
              <w:rPr>
                <w:rFonts w:ascii="Aptos" w:hAnsi="Aptos"/>
                <w:b/>
                <w:color w:val="17365D"/>
                <w:sz w:val="17"/>
              </w:rPr>
              <w:t>Limitation</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Source-population reconciliation</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the monitored population match the actual process, system, service, vendor, or customer set being governed?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System exports, workflow inventories, queue counts, vendor lists, and process maps.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Detects metric survivorship and stale control mapping.</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 miss informal workarounds unless paired with operator interviews.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reconstruction test</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Can an independent reviewer explain the support basis without relying on undocumented owner knowledge?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files, metadata, reviewer notes, decision records, and source-system references.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Tests audit survivability and institutional memory dependence.</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confirm record quality without proving the control remains appropriate.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walk-through</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practiced workflow match documented governance, escalation, and evidence capture?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Live process observation, staff interviews, handoff review, and transaction tracing.</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Reveals shadow process, compensating behavior, and authority bypass.</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careful sampling because observed behavior may change when being reviewed.</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Exception-backward tracing</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 exceptions reveal detection quality, routing discipline, remediation ownership, and residual-exposure treatment?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logs, aged items, repeated findings, closure notes, and escalation records.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how governance behaves when ordinary controls do not operate cleanly.</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understate exposure if exception intake is weak.</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Representation-to-evidence tracing</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 externally relied-upon confidence language be tied to current evidence, limitation, and accountable approval?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responses, public statements, executive summaries, evidence registers, and approval history.</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trust posture and confidence survivability.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inventory of informal reuse and AI-generated summaries to be complete.</w:t>
            </w:r>
          </w:p>
        </w:tc>
      </w:tr>
    </w:tbl>
    <w:p>
      <w:pPr>
        <w:spacing w:after="60"/>
      </w:pPr>
    </w:p>
    <w:p>
      <w:r>
        <w:br w:type="page"/>
      </w:r>
    </w:p>
    <w:p>
      <w:pPr>
        <w:pStyle w:val="Heading3"/>
        <w:keepNext/>
      </w:pPr>
      <w:r>
        <w:t>Operational Reality Evidence Review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Documentation Structure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Purpose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Contact Point</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Exposure Revealed</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Use Constraint</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walk-through sampling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whether documented process sequence reflects actual work routing and decision points.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Operators, supervisors, queue managers, and system administrators.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Undocumented workflow migration, informal approvals, and hidden exception handling.</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Sampling must include routine and high-pressure scenarios, not only standard cases.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Control-to-transaction tracing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Follows selected transactions from origin through control execution, review, evidence capture, and 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Transaction owners, control performers, evidence custodians, and reviewers.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Breaks between performed work and governance record.</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selection must include adverse, unusual, and edge-case items.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confirmation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Validates assumptions about vendors, upstream teams, downstream users, and shared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owners, vendor managers, integration leads, and receiving teams.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Unresolved dependency chains and reliance on ungoverned inputs.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Confirmation must test both stated dependency and actual operating reliance.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sampling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Selects customer, board, partner, or public-facing statements and reconstructs their support.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 evidence owners, approvers, and channel owners.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Stale confidence, overstatement, and reused language without review.</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Samples must include high-consequence and frequently reused statements.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 influence review</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where AI-assisted routing, scoring, summarization, or drafting changes governance perception.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owners, model operators, reviewers, and users of generated outputs.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Automation-induced monitoring drift and false observability.</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must include raw source comparison and limitation handling.</w:t>
            </w:r>
          </w:p>
        </w:tc>
      </w:tr>
    </w:tbl>
    <w:p>
      <w:pPr>
        <w:spacing w:after="60"/>
      </w:pPr>
    </w:p>
    <w:p>
      <w:pPr>
        <w:pStyle w:val="Heading3"/>
        <w:keepNext/>
      </w:pPr>
      <w:r>
        <w:t>Confidence-Testing Methodologies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Methodology</w:t>
            </w:r>
          </w:p>
        </w:tc>
        <w:tc>
          <w:tcPr>
            <w:tcW w:type="dxa" w:w="2600"/>
            <w:shd w:fill="E7ECF3"/>
            <w:tcMar>
              <w:top w:w="105" w:type="dxa"/>
              <w:start w:w="92" w:type="dxa"/>
              <w:bottom w:w="105" w:type="dxa"/>
              <w:end w:w="92" w:type="dxa"/>
            </w:tcMar>
            <w:vAlign w:val="center"/>
          </w:tcPr>
          <w:p>
            <w:pPr>
              <w:spacing w:after="0" w:line="250" w:lineRule="auto"/>
            </w:pPr>
            <w:r/>
            <w:r>
              <w:rPr>
                <w:rFonts w:ascii="Aptos" w:hAnsi="Aptos"/>
                <w:b/>
                <w:color w:val="17365D"/>
                <w:sz w:val="17"/>
              </w:rPr>
              <w:t>Question Tested</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Confidence Can Fail</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Strong Performance</w:t>
            </w:r>
          </w:p>
        </w:tc>
        <w:tc>
          <w:tcPr>
            <w:tcW w:type="dxa" w:w="191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Point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Adverse sampling</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governance remain effective in messy, delayed, exception-heavy, or nonstandard cases?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Ordinary samples confirm stability while adverse cases reveal weak routing or hidden manual repair.</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Exceptions are captured, routed, owned, and reflected in confidence language.</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adverse samples bypass documented authority or evidence capture.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Contradiction review</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 different evidence sources, owners, dashboards, and summaries tell the same governance 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Contradictions are rationalized instead of resolved.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Conflicts are logged, assigned, decided, and reflected in reporting.</w:t>
            </w:r>
          </w:p>
        </w:tc>
        <w:tc>
          <w:tcPr>
            <w:tcW w:type="dxa" w:w="19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unresolved contradiction affecting external reliance or executive decision.</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challenge</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Are governance conclusions dependent on inherited, undocumented, or untested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persist because no recent event forced challenge.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assumptions have owners, evidence basis, and refresh triggers.</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 critical assumption cannot be supported by current evidence.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reconstruction</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Can the institution reconstruct why a governance decision was made and who owned the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Records show discussion but not accountable authority or rationale.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logs preserve rationale, evidence, dissent, limitation, and owner.</w:t>
            </w:r>
          </w:p>
        </w:tc>
        <w:tc>
          <w:tcPr>
            <w:tcW w:type="dxa" w:w="19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unreconstructable decisions support ongoing confidence.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stress testing</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Would monitoring detect degradation if the process changed, volume shifted, or AI prioritization altered routing?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Indicators remain green because they are insensitive to changed reality.</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rules expose population changes, volume anomalies, and unobserved channels.</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high-reliance signals lack stress-tested detection logic.</w:t>
            </w:r>
          </w:p>
        </w:tc>
      </w:tr>
    </w:tbl>
    <w:p>
      <w:pPr>
        <w:spacing w:after="60"/>
      </w:pPr>
    </w:p>
    <w:p>
      <w:pPr>
        <w:pStyle w:val="Heading2"/>
        <w:keepNext/>
        <w:pageBreakBefore/>
      </w:pPr>
      <w:r>
        <w:t>AI-Assisted Monitoring and Governance Observability Distortion</w:t>
      </w:r>
    </w:p>
    <w:p>
      <w:pPr>
        <w:pStyle w:val="BodyText"/>
        <w:keepNext w:val="0"/>
      </w:pPr>
      <w:r>
        <w:t>AI-assisted monitoring can improve governance awareness by detecting unusual patterns, summarizing large evidence sets, highlighting stale artifacts, and surfacing anomalies that ordinary review may miss. The same capabilities can distort awareness when generated outputs compress uncertainty, rank issues without governance context, smooth contradiction into coherent narratives, or cause reviewers to trust synthesized visibility more than source evidence.</w:t>
      </w:r>
    </w:p>
    <w:p>
      <w:pPr>
        <w:pStyle w:val="BodyText"/>
        <w:keepNext w:val="0"/>
      </w:pPr>
      <w:r>
        <w:t>The governance concern is not automation itself. The concern is whether AI-assisted monitoring changes what the institution believes it can see. A model-generated oversight summary may make governance appear more observable than it is. Automated scoring may imply comparative maturity without explaining source limitations. Anomaly detection may exclude categories not represented in training or configuration. Dashboard synthesis may transform weak, stale, or inconsistent signals into a single confident posture.</w:t>
      </w:r>
    </w:p>
    <w:p>
      <w:pPr>
        <w:pStyle w:val="Heading3"/>
        <w:keepNext/>
      </w:pPr>
      <w:r>
        <w:t>AI-Assisted Monitoring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AI-Assisted Function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Benefit</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 Risk</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Exposure</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Counterweight</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monitoring summaries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Condenses large reporting sets into readable oversight narratives.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Uncertainty, caveats, low-quality sources, and unresolved contradiction may be smoothed away.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Executives receive confidence without seeing the weakness of the underlying signal.</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links, caveat preservation, and reviewer sign-off on omitted uncertainty.</w:t>
            </w:r>
          </w:p>
        </w:tc>
      </w:tr>
      <w:tr>
        <w:trPr>
          <w:cantSplit/>
        </w:trPr>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Automated governance scoring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Creates comparable indicators across functions, controls, vendors, or process areas.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Scores may imply precision while weighting assumptions remain opaque.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Leadership may prioritize based on numeric confidence that does not reflect exposure.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Transparent scoring logic, qualitative override, and periodic validation against known failures.</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AI-assisted anomaly detection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unusual patterns, outliers, and deviations across large activity populations.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model may miss novel failure categories or normalize recurring weak behavior.</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overtrusts absence of alerts.</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Adverse sampling, rule testing, and review of false negatives after incidents or process changes.</w:t>
            </w:r>
          </w:p>
        </w:tc>
      </w:tr>
      <w:tr>
        <w:trPr>
          <w:cantSplit/>
        </w:trPr>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 synthesis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Combines multiple governance signals into an integrated oversight view.</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Weak or contradictory signals may be averaged into apparent stability.</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becomes easier to consume but less faithful to governance complexity.</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Disaggregated drill-down, contradiction flags, and source-quality indicators.</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executive oversight narratives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Prepares concise summaries for governance forums and senior decision-makers.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Narrative fluency can substitute for evidentiary depth.</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late-entry risk increases when uncertainty is not visible early.</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Human challenge review, explicit decision questions, and unresolved exposure prompts.</w:t>
            </w:r>
          </w:p>
        </w:tc>
      </w:tr>
    </w:tbl>
    <w:p>
      <w:pPr>
        <w:spacing w:after="60"/>
      </w:pPr>
    </w:p>
    <w:p>
      <w:pPr>
        <w:pStyle w:val="Heading3"/>
        <w:keepNext/>
      </w:pPr>
      <w:r>
        <w:t>AI-Mediated Observability Distortion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Hidden Weakness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Effect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Requirement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Observability compression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signals are converted into a concise generated status narrative.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Differences in source quality, timeliness, scope, and contradiction are flattened.</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appears easier to understand than it is.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Compare generated output to source artifacts and require disclosure of excluded uncertainty.</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amplification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summaries use firm language where the evidence basis is partial or indirect.</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Probable, preliminary, or sampled support becomes represented as settled.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treat monitoring as validation.</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confidence labels tied to evidence type and review method.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Model-shaped blind spot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attention follows categories recognized by the AI system.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Uncategorized operational changes receive little governance attention.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learns to see only what the model is configured to detect.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Periodically test unmodeled scenarios and compare AI outputs to independent operational inquiry.</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Automation-induced drift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adapt behavior to the monitoring system's scoring, routing, or prioritization logic.</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monitored behavior becomes optimized for the signal rather than the control objective.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Metrics improve while governance effectiveness stagnates.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for gaming, local optimization, and control objective displacement.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Synthesized oversight illusion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 materials appear comprehensive because generated outputs cover many domains.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breadth conceals shallow validation depth.</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forums mistake synthesis volume for governance understanding.</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sampling evidence, source lineage, and challenge notes for generated materials.</w:t>
            </w:r>
          </w:p>
        </w:tc>
      </w:tr>
    </w:tbl>
    <w:p>
      <w:pPr>
        <w:spacing w:after="60"/>
      </w:pPr>
    </w:p>
    <w:p>
      <w:pPr>
        <w:pStyle w:val="Heading2"/>
        <w:keepNext/>
        <w:pageBreakBefore w:val="0"/>
      </w:pPr>
      <w:r>
        <w:t>Challenge Function and Institutional Self-Awareness</w:t>
      </w:r>
    </w:p>
    <w:p>
      <w:pPr>
        <w:pStyle w:val="BodyText"/>
        <w:keepNext w:val="0"/>
      </w:pPr>
      <w:r>
        <w:t>A governance challenge function is the institutional capacity to question whether observed signals are sufficient, whether conclusions are overstated, whether unseen exposure exists, and whether current controls remain appropriate. Challenge does not require antagonism. It requires independence of interpretation, access to evidence, authority to route unresolved findings, and protection against the gradual softening that occurs when reviewers become embedded in the routines they assess.</w:t>
      </w:r>
    </w:p>
    <w:p>
      <w:pPr>
        <w:pStyle w:val="BodyText"/>
        <w:keepNext w:val="0"/>
      </w:pPr>
      <w:r>
        <w:t>Institutional self-awareness is visible when governance can describe its own uncertainty. A mature monitoring system does not merely report what is known. It identifies what is not observable, what depends on fragile assumptions, what signals are weak, where evidence is aging, which committees are saturated, and which confidence statements require recalibration. The institution becomes more trustworthy when it can name the limits of its own visibility.</w:t>
      </w:r>
    </w:p>
    <w:p>
      <w:pPr>
        <w:pStyle w:val="Heading3"/>
        <w:keepNext/>
      </w:pPr>
      <w:r>
        <w:t>Governance Challenge Function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Structure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Mechanism</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Strengthening Action</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Independent signal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whether monitoring indicators support the conclusions being drawn from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compares dashboard status to source data, process changes, exception history, and owner testimony.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becomes limited to formatting questions or minor clarifications.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conclusion testing and documentation of alternative interpretations.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Assumption review forum</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inherited assumptions behind control scope, evidence sufficiency, escalation routing, and confidence statements.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review of critical assumptions with owner, evidence basis, and change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Assumptions are discussed but not assigned or refreshed.</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Create assumption inventory and tie stale assumptions to escalation thresholds.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Red-team style governance test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Uses targeted scenarios to identify how monitoring would fail under pressure or changed conditions.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Simulated workflow migration, missing evidence, AI-routing change, vendor delay, or executive deadline pressure.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become academic and do not affect control redesign.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weaknesses to governance owners with required response decisions.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challenge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Tests whether confidence-bearing language remains defensible for its audience and use.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Sample customer, partner, public, and executive representations against current evidence and limitation.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Language review focuses on grammar or consistency rather than reliance consequence.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approval or qualification for high-reliance statements.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independence rotation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Reduces familiarity bias by varying who interprets recurring governance evidence.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Peer review, cross-functional validation, or periodic independent reassessment.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Rotation disrupts continuity without improving evidence challenge.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Pair rotation with structured challenge criteria and prior-assumption review.</w:t>
            </w:r>
          </w:p>
        </w:tc>
      </w:tr>
    </w:tbl>
    <w:p>
      <w:pPr>
        <w:spacing w:after="60"/>
      </w:pPr>
    </w:p>
    <w:p>
      <w:r>
        <w:br w:type="page"/>
      </w:r>
    </w:p>
    <w:p>
      <w:pPr>
        <w:pStyle w:val="Heading3"/>
        <w:keepNext/>
      </w:pPr>
      <w:r>
        <w:t>Institutional Self-Awareness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Demonstrates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Mature Form</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Significance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Known unknowns register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can identify important governance questions not yet answerable from current evidence.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Open questions are listed without owner or consequence.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Unknowns have owners, validation plans, reliance limits, and escalation triggers.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uncertainty from being converted into implied confidence.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limitation disclosure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show where indicators do not cover material processes or populations.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Limitations appear in technical notes outside decision materials.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see limitation at the point they interpret the signal.</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governance visibility illusion and overconfidence.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currency tracking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are refreshed after change events, incidents, or reliance expansion.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are embedded in policy language or reviewer memory.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have evidence basis, owner, last tested date, and change trigger.</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governance from silent inherited confidence.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 monitors whether challenge changes governance decisions, controls, or representations.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Questions are recorded but not tied to consequences.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outcomes include redesign, escalation, qualification, or documented acceptance.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whether review has institutional force.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Blind-spot correction history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Past monitoring failures are used to redesign observability and validation methods.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Issues are closed after local remediation.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identified blind spots, near misses, or missed signals.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Demonstrates learning capacity rather than incident-by-incident containment.</w:t>
            </w:r>
          </w:p>
        </w:tc>
      </w:tr>
    </w:tbl>
    <w:p>
      <w:pPr>
        <w:spacing w:after="60"/>
      </w:pPr>
    </w:p>
    <w:p>
      <w:pPr>
        <w:pStyle w:val="Heading3"/>
        <w:keepNext/>
      </w:pPr>
      <w:r>
        <w:t>Monitoring Survivability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Minimum Evidence</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Breakdown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lineage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how a monitoring signal was produced, filtered, transformed, and interpreted.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data, filters, owner, transformation logic, review date, and known exclusions.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visible but no one can explain the data path.</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reviewer can reconstruct the signal without relying on the original analyst.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Interpretation record</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how monitoring output became a governance conclusion or decision input.</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rationale, uncertainty, challenge notes, and escalation disposition.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retain data but not why it mattered.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committee can identify why a signal did or did not trigger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map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what processes, populations, systems, vendors, and representations are monitored.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scope, exclusions, dependencies, and change-event linkage.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is assumed because controls have owners.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or changed workflows can be matched to monitoring responsibility.</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memory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Retains recurrence, age, closure rationale, and cumulative exposure of governance exceptions.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history, remediation records, repeat-pattern analysis, and residual-exposure treatment.</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Old exceptions disappear after closure and cannot inform current risk.</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Recurring issues can be identified across reporting periods and ownership changes.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preservation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Ensures dissent, uncertainty, and contradiction remain visible after reporting is summarized.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questions, management responses, unresolved items, and decision effects.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or executive summaries omit disagreement.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see whether positive confidence was contested.</w:t>
            </w:r>
          </w:p>
        </w:tc>
      </w:tr>
    </w:tbl>
    <w:p>
      <w:pPr>
        <w:spacing w:after="60"/>
      </w:pPr>
    </w:p>
    <w:p>
      <w:r>
        <w:br w:type="page"/>
      </w:r>
    </w:p>
    <w:p>
      <w:pPr>
        <w:pStyle w:val="Heading3"/>
        <w:keepNext/>
      </w:pPr>
      <w:r>
        <w:t>Monitoring Escalation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Observed Condition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Monitoring Alone Is Insufficient</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Destination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Decision Required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Unvalidated positive signal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high-reliance dashboard, score, or attestation remains positive despite operational change or weak evidence support.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signal may create confidence faster than validation can confirm it.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owner and representation authority.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 qualify, suspend, or replace the signal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Repeated blind-spot discovery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misses the same category of issue, dependency, or process variant more than once.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Local correction does not fix observability failure.</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forum with control-design authority.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Redesign monitoring coverage, source data, or validation cadence.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Self-assessment contradiction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 narrative, evidence, exception history, or independent sample produces materially different conclusions.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cannot rely on self-report without resolving interpretation.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function or cross-functional governance forum.</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Select authoritative interpretation and record residual uncertainty.</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overconfidence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summaries, scores, or executive narratives convey certainty not supported by source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Automation can amplify reliance before human review detects limitation loss.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 governance owner, representation owner, and oversight authority.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 review, caveat restoration, and approval controls for generated monitoring output.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Unobservable critical process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workflow, representation, vendor dependency, or AI-assisted process lacks reliable monitoring coverage.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Absence of data cannot be treated as absence of exposure.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oversight when reliance or material exposure exists.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Assign monitoring ownership, interim limitation, and validation pathway.</w:t>
            </w:r>
          </w:p>
        </w:tc>
      </w:tr>
    </w:tbl>
    <w:p>
      <w:pPr>
        <w:spacing w:after="60"/>
      </w:pPr>
    </w:p>
    <w:p>
      <w:pPr>
        <w:pStyle w:val="Heading2"/>
        <w:keepNext/>
        <w:pageBreakBefore/>
      </w:pPr>
      <w:r>
        <w:t>Governance Monitoring and Validation Operating Standard</w:t>
      </w:r>
    </w:p>
    <w:p>
      <w:pPr>
        <w:pStyle w:val="BodyText"/>
        <w:keepNext w:val="0"/>
      </w:pPr>
      <w:r>
        <w:t>Governance monitoring under this framework shall be maintained as an institutional sensing capability rather than a passive reporting routine. Monitoring shall identify whether governance controls, evidence, decision authority, escalation pathways, representations, dependencies, and oversight forums continue to correspond to current operating reality. Monitoring artifacts shall not be treated as confidence unless their scope, source, interpretation, limitation, and validation basis are clear.</w:t>
      </w:r>
    </w:p>
    <w:p>
      <w:pPr>
        <w:pStyle w:val="BodyText"/>
        <w:keepNext w:val="0"/>
      </w:pPr>
      <w:r>
        <w:t>Governance validation shall test whether monitored signals are materially true, decision-relevant, and sufficient for the reliance being placed upon them. Validation shall not rely solely on policy review, meeting minutes, dashboard status, control-owner attestation, or evidence-file presence. Validation shall include operational reality testing where the monitored condition affects external reliance, executive decision-making, confidence posture, material exposure, or institutional resilience.</w:t>
      </w:r>
    </w:p>
    <w:p>
      <w:pPr>
        <w:pStyle w:val="BodyText"/>
        <w:keepNext w:val="0"/>
      </w:pPr>
      <w:r>
        <w:t>Institutional self-assessment shall be governed as a controlled review activity subject to bias, capture, and degradation. Self-assessment conclusions shall identify evidence basis, known limitation, reviewer dependency, contradicted evidence, unresolved assumptions, and change events considered. Where the assessed function controls both the evidence and interpretation, an independent challenge mechanism shall be used for material conclusions.</w:t>
      </w:r>
    </w:p>
    <w:p>
      <w:pPr>
        <w:pStyle w:val="BodyText"/>
        <w:keepNext w:val="0"/>
      </w:pPr>
      <w:r>
        <w:t>Monitoring programs shall distinguish activity, signal, interpretation, validation, oversight, confidence, and understanding. Activity indicates that a governance step occurred. A signal indicates a possible condition. Interpretation assigns meaning. Validation tests reality. Oversight determines action. Confidence supports reliance. Understanding requires the institution to know what its monitoring can and cannot see.</w:t>
      </w:r>
    </w:p>
    <w:p>
      <w:pPr>
        <w:pStyle w:val="BodyText"/>
        <w:keepNext w:val="0"/>
      </w:pPr>
      <w:r>
        <w:t>Governance monitoring shall include blind-spot detection. The institution shall periodically test whether material workflows, vendors, representations, AI-assisted processes, exception routes, evidence populations, and dependency chains are outside the observed field. Absence of visible issue shall not be treated as positive confidence where monitoring scope, source reliability, or detection logic is incomplete.</w:t>
      </w:r>
    </w:p>
    <w:p>
      <w:pPr>
        <w:pStyle w:val="BodyText"/>
        <w:keepNext w:val="0"/>
      </w:pPr>
      <w:r>
        <w:t>AI-assisted monitoring outputs shall require source traceability, uncertainty retention, model-limit disclosure, and human interpretation before they are used for oversight, confidence, or external reliance. Generated summaries, automated scores, anomaly alerts, synthesized dashboards, and executive narratives shall be validated against source evidence and operational reality when they influence governance decisions or confidence signaling.</w:t>
      </w:r>
    </w:p>
    <w:p>
      <w:pPr>
        <w:pStyle w:val="BodyText"/>
        <w:keepNext w:val="0"/>
      </w:pPr>
      <w:r>
        <w:t>Challenge functions shall be preserved as part of monitoring integrity. Challenge shall test assumptions, signal quality, evidence sufficiency, interpretation, representation accuracy, and unresolved dependency. Challenge outcomes shall be tracked by their effect on governance decisions, control design, confidence language, escalation, and residual-exposure treatment rather than by the number of questions asked.</w:t>
      </w:r>
    </w:p>
    <w:p>
      <w:pPr>
        <w:pStyle w:val="BodyText"/>
        <w:keepNext w:val="0"/>
      </w:pPr>
      <w:r>
        <w:t>Monitoring survivability shall be maintained through signal lineage, interpretation records, coverage maps, exception memory, challenge preservation, and validation evidence sufficient for later reconstruction. A successor reviewer shall be able to determine how the signal was produced, what it meant, what it excluded, who interpreted it, what decision followed, and whether reliance was appropriate.</w:t>
      </w:r>
    </w:p>
    <w:p>
      <w:pPr>
        <w:pStyle w:val="BodyText"/>
        <w:keepNext w:val="0"/>
      </w:pPr>
      <w:r>
        <w:t>The operating standard of this section is disciplined institutional self-awareness. Governance is healthy when it can observe its own limits, test its own assumptions, detect its own degradation, and escalate uncertainty before confidence becomes detached from reality. Monitoring is credible only when it can challenge the institution's preferred view of itself.</w:t>
      </w:r>
    </w:p>
    <w:sectPr w:rsidR="00FC693F" w:rsidRPr="0006063C" w:rsidSect="00034616">
      <w:footerReference w:type="default" r:id="rId9"/>
      <w:pgSz w:w="12240" w:h="15840"/>
      <w:pgMar w:top="1037" w:right="835" w:bottom="893" w:left="835" w:header="432"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66758A"/>
        <w:sz w:val="16"/>
      </w:rPr>
      <w:t>Paladin Compliance Governance Binder | Section 1.17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ptos" w:hAnsi="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8" w:line="252" w:lineRule="auto"/>
    </w:pPr>
    <w:rPr>
      <w:rFonts w:ascii="Aptos" w:hAnsi="Aptos"/>
      <w:color w:val="2F3A4A"/>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