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1.9 Governance Drift &amp; Stagnation</w:t>
      </w:r>
    </w:p>
    <w:p>
      <w:pPr>
        <w:keepLines w:val="0"/>
        <w:spacing w:after="140" w:line="271" w:lineRule="auto"/>
      </w:pPr>
      <w:r>
        <w:rPr>
          <w:rFonts w:ascii="Aptos" w:hAnsi="Aptos"/>
          <w:color w:val="2F3A4A"/>
          <w:sz w:val="20"/>
        </w:rPr>
        <w:t>Governance drift is the gradual loss of alignment between a governance model and the operational reality it is meant to control. Drift can occur while meetings continue, evidence packages remain complete, owners remain named, and dashboards remain green. The system appears functional because the visible routines have not stopped; the risk is that those routines no longer describe the process, dependency chain, control population, or decision pathway that now creates exposure.</w:t>
      </w:r>
    </w:p>
    <w:p>
      <w:pPr>
        <w:keepLines w:val="0"/>
        <w:spacing w:after="140" w:line="271" w:lineRule="auto"/>
      </w:pPr>
      <w:r>
        <w:rPr>
          <w:rFonts w:ascii="Aptos" w:hAnsi="Aptos"/>
          <w:color w:val="2F3A4A"/>
          <w:sz w:val="20"/>
        </w:rPr>
        <w:t>Governance stagnation differs from explicit governance failure. Failure is often visible through missed deadlines, unresolved incidents, or audit findings. Stagnation is quieter: the organization keeps using assumptions that were once reasonable but have not been retested after growth, system migration, workflow redesign, vendor change, AI-use expansion, or staff turnover. Operational success can conceal this condition because teams continue delivering outcomes through informal compensation, memory, and workarounds.</w:t>
      </w:r>
    </w:p>
    <w:p>
      <w:pPr>
        <w:keepLines w:val="0"/>
        <w:spacing w:after="140" w:line="271" w:lineRule="auto"/>
      </w:pPr>
      <w:r>
        <w:rPr>
          <w:rFonts w:ascii="Aptos" w:hAnsi="Aptos"/>
          <w:color w:val="2F3A4A"/>
          <w:sz w:val="20"/>
        </w:rPr>
        <w:t>Organizations implementing this framework treat drift as an institutional maintenance problem. The relevant question is not whether the governance structure still exists, but whether it still fits. A control may continue generating complete evidence packages even after the governed workflow migrated to a different operational queue that the evidence no longer reflects. An escalation path may still be documented while teams bypass it because the forum no longer has timely authority. A review cadence may still occur while the risk it was designed to detect now changes between review cycles.</w:t>
      </w:r>
    </w:p>
    <w:p>
      <w:pPr>
        <w:pStyle w:val="Heading2"/>
        <w:keepNext/>
        <w:spacing w:before="200" w:after="100"/>
      </w:pPr>
      <w:r>
        <w:rPr>
          <w:rFonts w:ascii="Aptos Display" w:hAnsi="Aptos Display"/>
          <w:b/>
          <w:color w:val="17365D"/>
          <w:sz w:val="30"/>
        </w:rPr>
        <w:t>Drift Reference Principles</w:t>
      </w:r>
    </w:p>
    <w:p>
      <w:pPr>
        <w:spacing w:after="84" w:line="259" w:lineRule="auto"/>
        <w:ind w:left="259" w:hanging="259"/>
      </w:pPr>
      <w:r>
        <w:rPr>
          <w:rFonts w:ascii="Aptos" w:hAnsi="Aptos"/>
          <w:b/>
          <w:color w:val="17365D"/>
          <w:sz w:val="19"/>
        </w:rPr>
        <w:t xml:space="preserve">Drift survives ordinary review. </w:t>
      </w:r>
      <w:r>
        <w:rPr>
          <w:rFonts w:ascii="Aptos" w:hAnsi="Aptos"/>
          <w:color w:val="2F3A4A"/>
          <w:sz w:val="19"/>
        </w:rPr>
        <w:t>Routine review often verifies completion, not whether the governance assumption remains accurate.</w:t>
      </w:r>
    </w:p>
    <w:p>
      <w:pPr>
        <w:spacing w:after="84" w:line="259" w:lineRule="auto"/>
        <w:ind w:left="259" w:hanging="259"/>
      </w:pPr>
      <w:r>
        <w:rPr>
          <w:rFonts w:ascii="Aptos" w:hAnsi="Aptos"/>
          <w:b/>
          <w:color w:val="17365D"/>
          <w:sz w:val="19"/>
        </w:rPr>
        <w:t xml:space="preserve">Stagnation can look stable. </w:t>
      </w:r>
      <w:r>
        <w:rPr>
          <w:rFonts w:ascii="Aptos" w:hAnsi="Aptos"/>
          <w:color w:val="2F3A4A"/>
          <w:sz w:val="19"/>
        </w:rPr>
        <w:t>A governance process may appear mature because it repeats reliably while its underlying operating environment has moved on.</w:t>
      </w:r>
    </w:p>
    <w:p>
      <w:pPr>
        <w:spacing w:after="84" w:line="259" w:lineRule="auto"/>
        <w:ind w:left="259" w:hanging="259"/>
      </w:pPr>
      <w:r>
        <w:rPr>
          <w:rFonts w:ascii="Aptos" w:hAnsi="Aptos"/>
          <w:b/>
          <w:color w:val="17365D"/>
          <w:sz w:val="19"/>
        </w:rPr>
        <w:t xml:space="preserve">Evidence can age without expiring. </w:t>
      </w:r>
      <w:r>
        <w:rPr>
          <w:rFonts w:ascii="Aptos" w:hAnsi="Aptos"/>
          <w:color w:val="2F3A4A"/>
          <w:sz w:val="19"/>
        </w:rPr>
        <w:t>Artifacts may remain current by date while becoming stale by scope, source population, or control relevance.</w:t>
      </w:r>
    </w:p>
    <w:p>
      <w:pPr>
        <w:spacing w:after="84" w:line="259" w:lineRule="auto"/>
        <w:ind w:left="259" w:hanging="259"/>
      </w:pPr>
      <w:r>
        <w:rPr>
          <w:rFonts w:ascii="Aptos" w:hAnsi="Aptos"/>
          <w:b/>
          <w:color w:val="17365D"/>
          <w:sz w:val="19"/>
        </w:rPr>
        <w:t xml:space="preserve">Adaptation creates tradeoffs. </w:t>
      </w:r>
      <w:r>
        <w:rPr>
          <w:rFonts w:ascii="Aptos" w:hAnsi="Aptos"/>
          <w:color w:val="2F3A4A"/>
          <w:sz w:val="19"/>
        </w:rPr>
        <w:t>Frequent reassessment improves fit but can overwhelm owners if every small process change is treated as a full redesign trigger.</w:t>
      </w:r>
    </w:p>
    <w:p>
      <w:pPr>
        <w:pStyle w:val="Heading2"/>
        <w:keepNext/>
        <w:spacing w:before="280" w:after="100"/>
      </w:pPr>
      <w:r>
        <w:rPr>
          <w:rFonts w:ascii="Aptos Display" w:hAnsi="Aptos Display"/>
          <w:b/>
          <w:color w:val="17365D"/>
          <w:sz w:val="30"/>
        </w:rPr>
        <w:t>Governance Stagnation Taxonomy</w:t>
      </w:r>
    </w:p>
    <w:p>
      <w:pPr>
        <w:keepLines w:val="0"/>
        <w:spacing w:after="120" w:line="271" w:lineRule="auto"/>
      </w:pPr>
      <w:r>
        <w:rPr>
          <w:rFonts w:ascii="Aptos" w:hAnsi="Aptos"/>
          <w:color w:val="2F3A4A"/>
          <w:sz w:val="20"/>
        </w:rPr>
        <w:t>The following taxonomy identifies common stagnation conditions that allow governance to remain formally active while losing practical relevance.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Stagnation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Signal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Survives Review</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Realistic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inertia</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Committees, control reviews, and reporting packs continue with the same scope despite changes in systems or products.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Consistency is mistaken for discipline, and participants assume prior design decisions remain valid.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Oversight remains organized around yesterday's process map while exposure forms elsewhere.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data workflow moves into a new support queue, but the privacy review still samples the legacy intake channel.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stagnation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owners remain in registers after responsibilities, teams, or decision rights have shifted.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owner field is populated, so status reporting does not reveal that the person lacks operational leverage.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Escalations reach someone accountable in name but unable to remediate, fund, or accept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compliance manager remains listed for a product control that is now executed entirely by platform engineering.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Review-cycle obsolescence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Quarterly or annual reviews persist after the governed process begins changing weekly or daily.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review happens on time, satisfying cadence metrics.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changes emerge and settle before governance has a chance to reassess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customer triage rules are adjusted every sprint while governance review remains annual.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Legacy confidence structure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packages, attestations, and public trust materials reference a control architecture that still exists on paper.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requests reward reusable artifacts and discourage fresh scope analysis.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 or partners rely on confidence that no longer maps cleanly to the current operating model.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confidence packet still describes a legacy identity provider after access administration moved to a consolidated platform.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Institutional memory decay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retain the process steps but lose the rationale for thresholds, exceptions, and escalation timing.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immediate failure occurs because experienced staff fill context gaps informally.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personnel repeat decisions without knowing which conditions originally justified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remediation threshold continues to be used after the customer contract that created it has been superseded.</w:t>
            </w:r>
          </w:p>
        </w:tc>
      </w:tr>
    </w:tbl>
    <w:p>
      <w:pPr>
        <w:spacing w:after="100"/>
      </w:pPr>
    </w:p>
    <w:p>
      <w:pPr>
        <w:pStyle w:val="Heading2"/>
        <w:keepNext/>
        <w:spacing w:before="240" w:after="100"/>
      </w:pPr>
      <w:r>
        <w:rPr>
          <w:rFonts w:ascii="Aptos Display" w:hAnsi="Aptos Display"/>
          <w:b/>
          <w:color w:val="17365D"/>
          <w:sz w:val="30"/>
        </w:rPr>
        <w:t>Control-to-Process Divergence Model</w:t>
      </w:r>
    </w:p>
    <w:p>
      <w:pPr>
        <w:keepLines w:val="0"/>
        <w:spacing w:after="120" w:line="271" w:lineRule="auto"/>
      </w:pPr>
      <w:r>
        <w:rPr>
          <w:rFonts w:ascii="Aptos" w:hAnsi="Aptos"/>
          <w:color w:val="2F3A4A"/>
          <w:sz w:val="20"/>
        </w:rPr>
        <w:t>Control-to-process divergence occurs when the governed workflow evolves but the control design, evidence source, or review logic remains anchored to the older version of the process. Divergence is especially difficult to detect when the control continues to operate successfully against the wrong object.</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Original Governance Assumption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Change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Resulting Distortion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Discovery Scenario</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ticket queue represents all customer-impacting exceptions.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specialized team creates a parallel queue for urgent enterprise customers.</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reporting remains complete for standard customers while high-value cases fall outside governance sampling.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audit asks for evidence on an enterprise exception that never appeared in the governed queue.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system export captures the full access population.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Administrative privileges move to a new console during platform integration.</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Access review evidence is timely and complete for the legacy source but omits the new privileged pathway.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review finds privileged access was approved outside the evidence population.</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control owner can resolve remediation delays.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begins depending on a vendor, procurement, and product redesign sequence.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Status remains assigned to the control owner while the dependency chain lacks a decision authority.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overdue issue ages for months because no forum owns funding or vendor leverage.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review cadence matches the rate of operational change.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Release cycles accelerate and AI-assisted workflows begin changing prompts and triage rules more frequently.</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reviews validate a prior operating pattern after new decision influence has already entered production.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complaint escalation error traces back to a prompt change made between annual AI-use reviews.</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confidence materials describe the current control environment.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operation changes during a migration, but the confidence library is not refreshed.</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responses remain polished while the underlying claim becomes partially inaccurate.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strategic partner compares current architecture to the confidence packet and identifies a mismatch.</w:t>
            </w:r>
          </w:p>
        </w:tc>
      </w:tr>
    </w:tbl>
    <w:p>
      <w:pPr>
        <w:spacing w:after="100"/>
      </w:pPr>
    </w:p>
    <w:p>
      <w:r>
        <w:br w:type="page"/>
      </w:r>
    </w:p>
    <w:p>
      <w:pPr>
        <w:pStyle w:val="Heading2"/>
        <w:keepNext/>
        <w:spacing w:before="240" w:after="100"/>
      </w:pPr>
      <w:r>
        <w:rPr>
          <w:rFonts w:ascii="Aptos Display" w:hAnsi="Aptos Display"/>
          <w:b/>
          <w:color w:val="17365D"/>
          <w:sz w:val="30"/>
        </w:rPr>
        <w:t>Evidence Drift and Ownership Stagnation</w:t>
      </w:r>
    </w:p>
    <w:p>
      <w:pPr>
        <w:keepLines w:val="0"/>
        <w:spacing w:after="120" w:line="271" w:lineRule="auto"/>
      </w:pPr>
      <w:r>
        <w:rPr>
          <w:rFonts w:ascii="Aptos" w:hAnsi="Aptos"/>
          <w:color w:val="2F3A4A"/>
          <w:sz w:val="20"/>
        </w:rPr>
        <w:t>Evidence drift and ownership stagnation often reinforce one another. Evidence loses relevance when its source, population, or interpretive context changes. Ownership stagnates when the person named in governance records no longer controls the work, dependency, or decision. Together, they create records that appear complete but cannot support current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Symptom</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Symptom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Source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Artifacts originate from the same report name while the report's upstream data feed has changed.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owner validates receipt of evidence but does not understand the changed data lineage.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may pass review using evidence no longer connected to the governed process population.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Confirm source lineage whenever systems, reports, fields, or extraction methods change.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covers the original business unit while new teams or regions use modified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central owner remains accountable but local execution varies without formal variance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Confidence statements become overbroad even though each local artifact appears reasonable.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Map evidence coverage to operating scope before relying on enterprise-level claims.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Interpretive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retain artifacts but lose why the artifact was considered sufficient.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owners inherit sign-off duties without the original control rationale.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Approvals become mechanical and may miss conditions that would have changed prior judgment.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Preserve review basis, exception logic, and materiality thresholds with ownership transitions.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Delegation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produced by a support function that is not accountable for the obligation it supports.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named owner monitors status rather than evaluating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continue smoothly while accountability for the governance assertion thins.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evidence producer, evidence reviewer, accountable owner, and decision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Confidence lag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or customer-facing evidence libraries trail actual operating changes.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artifact owners depend on operational teams to disclose changes that are not routed to them.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materials that remain current by date but stale by operational scope.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confidence library refresh to change-management and exception triggers.</w:t>
            </w:r>
          </w:p>
        </w:tc>
      </w:tr>
    </w:tbl>
    <w:p>
      <w:pPr>
        <w:spacing w:after="100"/>
      </w:pPr>
    </w:p>
    <w:p>
      <w:pPr>
        <w:pStyle w:val="Heading2"/>
        <w:keepNext/>
        <w:spacing w:before="240" w:after="100"/>
      </w:pPr>
      <w:r>
        <w:rPr>
          <w:rFonts w:ascii="Aptos Display" w:hAnsi="Aptos Display"/>
          <w:b/>
          <w:color w:val="17365D"/>
          <w:sz w:val="30"/>
        </w:rPr>
        <w:t>Governance Entropy and Hidden Dependency Growth</w:t>
      </w:r>
    </w:p>
    <w:p>
      <w:pPr>
        <w:keepLines w:val="0"/>
        <w:spacing w:after="120" w:line="271" w:lineRule="auto"/>
      </w:pPr>
      <w:r>
        <w:rPr>
          <w:rFonts w:ascii="Aptos" w:hAnsi="Aptos"/>
          <w:color w:val="2F3A4A"/>
          <w:sz w:val="20"/>
        </w:rPr>
        <w:t>Governance entropy is the natural increase in coordination burden as processes, systems, owners, vendors, customer commitments, and tooling choices multiply. Without active maintenance, small dependencies accumulate faster than governance records can absorb them. The organization may still succeed operationally because teams compensate locally, but the governance model becomes less able to explain how outcomes are achieved.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Entropy Driver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Dependency Accumulates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Success Masks Decay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Mechanism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 expansion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new feature adds edge cases, customer commitments, and data flows that are not reflected in original controls.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Launch teams solve issues directly and only route major blockers.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coverage becomes uneven across product variants.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product release notes against control scope, confidence claims, and evidence maps.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layering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Primary vendors subcontract, add tools, or change reporting formats without visible process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Service continues, so dependency depth receives little attention.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Internal obligations depend on parties not represented in oversight records.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vendor evidence lineage, subcontractor dependencies, and remediation escalation rights.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Customer-specific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Negotiated requirements create obligations that differ from standard policy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custom commitments as account details rather than governance scope changes.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owners may be unaware that ordinary delays affect specific contractual statements.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contract exceptions and confidence promises to control-owner registers.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Tool sprawl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adopt local trackers, AI assistants, workflow plugins, and reporting exports to move faster.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Local tooling improves execution speed and reduces central bottlenecks.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decision records, and escalation paths fragment across systems.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Inventory material workflow tools by decision influence, evidence output, and owner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Staff turnover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knowledge exits while task ownership is reassigned at a surface level.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 continues because remaining staff know immediate steps.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Threshold rationale, exception history, and escalation memory decay.</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Include governance rationale, known dependency history, and decision authority in transition reviews.</w:t>
            </w:r>
          </w:p>
        </w:tc>
      </w:tr>
    </w:tbl>
    <w:p>
      <w:pPr>
        <w:spacing w:after="100"/>
      </w:pPr>
    </w:p>
    <w:p>
      <w:pPr>
        <w:pStyle w:val="Heading2"/>
        <w:keepNext/>
        <w:spacing w:before="240" w:after="100"/>
      </w:pPr>
      <w:r>
        <w:rPr>
          <w:rFonts w:ascii="Aptos Display" w:hAnsi="Aptos Display"/>
          <w:b/>
          <w:color w:val="17365D"/>
          <w:sz w:val="30"/>
        </w:rPr>
        <w:t>AI-Assisted Governance Drift</w:t>
      </w:r>
    </w:p>
    <w:p>
      <w:pPr>
        <w:keepLines w:val="0"/>
        <w:spacing w:after="120" w:line="271" w:lineRule="auto"/>
      </w:pPr>
      <w:r>
        <w:rPr>
          <w:rFonts w:ascii="Aptos" w:hAnsi="Aptos"/>
          <w:color w:val="2F3A4A"/>
          <w:sz w:val="20"/>
        </w:rPr>
        <w:t>AI-assisted workflows can accelerate drift because tool use often expands through convenience before governance reassessment occurs. A system approved for drafting may begin shaping prioritization. A summarization workflow may become the basis for executive reporting. A classification assistant may influence escalation routing while the documented review process still assumes direct human triage.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Drift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Initial Approved Use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Drifted Operating Use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Mismatch</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Trigger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 representation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use AI to draft internal notes or low-impact response language.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AI-generated language becomes the starting point for customer response.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approval reviews tone, but evidence-backed claim boundaries are not independently checked.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Output enters customer-facing, investor-facing, or regulator-facing communication.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to decision input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summarizes long incident records for convenience.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Executives use the summary to set customer notification position or remediation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governance record omits source scope, exclusions, uncertainty, and human validation.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Summaries influence risk acceptance, external position, funding, or escalation timing.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to routing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requests to reduce manual sorting.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Labels determine escalation path, queue priority, or exception handling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logic depends on a model category that was not tested against governance thresholds.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affects deadline, priority, ownership, or customer-impacting sequence.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Experiment to embedded workflow</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pilot tool is used by a small team under informal observation.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becomes part of ordinary process execution without formal ownership or monitoring.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inventory stays accurate by tool name but inaccurate by operational reliance.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User population, reliance level, data sensitivity, or integration point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Productivity metric to confidence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improves processing speed for internal operations.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Efficiency gains are referenced externally as evidence of operational maturity.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Performance claims outpace evidence of control reliability, quality review, and override handling.</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AI-enabled performance is used in diligence, sales, or public trust materials.</w:t>
            </w:r>
          </w:p>
        </w:tc>
      </w:tr>
    </w:tbl>
    <w:p>
      <w:pPr>
        <w:spacing w:after="100"/>
      </w:pPr>
    </w:p>
    <w:p>
      <w:pPr>
        <w:pStyle w:val="Heading2"/>
        <w:keepNext/>
        <w:spacing w:before="240" w:after="100"/>
      </w:pPr>
      <w:r>
        <w:rPr>
          <w:rFonts w:ascii="Aptos Display" w:hAnsi="Aptos Display"/>
          <w:b/>
          <w:color w:val="17365D"/>
          <w:sz w:val="30"/>
        </w:rPr>
        <w:t>Drift Detection and Reassessment Failure Patterns</w:t>
      </w:r>
    </w:p>
    <w:p>
      <w:pPr>
        <w:keepLines w:val="0"/>
        <w:spacing w:after="120" w:line="271" w:lineRule="auto"/>
      </w:pPr>
      <w:r>
        <w:rPr>
          <w:rFonts w:ascii="Aptos" w:hAnsi="Aptos"/>
          <w:color w:val="2F3A4A"/>
          <w:sz w:val="20"/>
        </w:rPr>
        <w:t>Drift detection depends on signals that challenge fit, not merely completion. Reassessment fails when triggers are too narrow, ownership is unclear, or review forums treat change as operational noise rather than governance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Signal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It Reveals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False Comfort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Failure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Test</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source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artifact may still exist while its lineage or population has changed.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name, owner, and review date look familiar.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accepts the evidence because the package format did not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sample records from current workflow into retained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Repeated manual workaround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temporary process has become the actual operating model.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Outcomes remain acceptable because teams are compensating with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workaround is treated as execution detail rather than control design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Ask whether the workaround has owner, evidence, approval, retirement criteria, and exception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have stopped using the documented route because it does not produce timely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still get resolved through informal networks.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measures closure but not the path used to achieve it.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actual issue routing to the documented escalation model.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receive more signals than they can evaluate, so exceptions normalize.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Meeting cadence and dashboard volume suggest active oversight.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Senior forums absorb status without separating information from decision requests.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Identify which agenda items changed authority, funding, risk acceptance, or remediation priority.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Confidence contradiction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investor, or public-facing materials describe a condition differently than operational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audience received a plausible version tailored to its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governed source of truth reconciles claims across stakeholder channels.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external narratives against current evidence, exceptions, and owner-approved wording.</w:t>
            </w:r>
          </w:p>
        </w:tc>
      </w:tr>
    </w:tbl>
    <w:p>
      <w:pPr>
        <w:spacing w:after="100"/>
      </w:pPr>
    </w:p>
    <w:p>
      <w:pPr>
        <w:pStyle w:val="Heading2"/>
        <w:keepNext/>
        <w:spacing w:before="240" w:after="100"/>
      </w:pPr>
      <w:r>
        <w:rPr>
          <w:rFonts w:ascii="Aptos Display" w:hAnsi="Aptos Display"/>
          <w:b/>
          <w:color w:val="17365D"/>
          <w:sz w:val="30"/>
        </w:rPr>
        <w:t>Governance Adaptation Standard</w:t>
      </w:r>
    </w:p>
    <w:p>
      <w:pPr>
        <w:keepLines w:val="0"/>
        <w:spacing w:after="140" w:line="271" w:lineRule="auto"/>
      </w:pPr>
      <w:r>
        <w:rPr>
          <w:rFonts w:ascii="Aptos" w:hAnsi="Aptos"/>
          <w:color w:val="2F3A4A"/>
          <w:sz w:val="20"/>
        </w:rPr>
        <w:t>The governance adaptation standard established by this framework is that material governance assumptions must remain testable against current operations. Ownership records, evidence maps, escalation paths, control populations, review cadences, AI-use boundaries, and public confidence claims require reassessment when the operating facts that support them change.</w:t>
      </w:r>
    </w:p>
    <w:p>
      <w:pPr>
        <w:keepLines w:val="0"/>
        <w:spacing w:after="140" w:line="271" w:lineRule="auto"/>
      </w:pPr>
      <w:r>
        <w:rPr>
          <w:rFonts w:ascii="Aptos" w:hAnsi="Aptos"/>
          <w:color w:val="2F3A4A"/>
          <w:sz w:val="20"/>
        </w:rPr>
        <w:t>Adaptation does not require constant redesign. It requires disciplined trigger logic. A system migration, new customer commitment, recurring workaround, vendor dependency, AI-use expansion, or repeated escalation bypass may warrant targeted reassessment long before a formal audit cycle. Governance stagnates when the organization waits for failure to prove that the model no longer fits. Mature governance identifies drift early enough that correction remains operational rather than reputational.</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