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40" w:after="60" w:line="245" w:lineRule="auto"/>
      </w:pPr>
      <w:r>
        <w:rPr>
          <w:rFonts w:ascii="Aptos" w:hAnsi="Aptos"/>
          <w:b/>
          <w:color w:val="18365D"/>
          <w:sz w:val="40"/>
        </w:rPr>
        <w:t>2.7 Incident Classification, Operational Severity, and Governance Escalation Conditions</w:t>
      </w:r>
    </w:p>
    <w:p>
      <w:pPr>
        <w:spacing w:after="340"/>
      </w:pPr>
      <w:r>
        <w:rPr>
          <w:rFonts w:ascii="Aptos" w:hAnsi="Aptos"/>
          <w:b/>
          <w:color w:val="64738C"/>
          <w:sz w:val="17"/>
        </w:rPr>
        <w:t>Paladin Compliance Governance Binder | Section II</w:t>
      </w:r>
    </w:p>
    <w:p>
      <w:pPr>
        <w:keepLines w:val="0"/>
        <w:spacing w:before="0" w:after="140" w:line="259" w:lineRule="auto"/>
      </w:pPr>
      <w:r>
        <w:rPr>
          <w:rFonts w:ascii="Aptos" w:hAnsi="Aptos"/>
          <w:b w:val="0"/>
          <w:color w:val="263244"/>
          <w:sz w:val="19"/>
        </w:rPr>
        <w:t>This section establishes a governance-aware incident classification model for organizations utilizing AI-assisted workflows, externally mediated services, operational dashboards, and distributed evidence environments. Incident handling under this framework is not limited to technical interruption or security response. It includes operational conditions that alter institutional exposure, weaken confidence, affect externally relied-upon representations, compromise evidence continuity, or cause accountable decision authority to become unclear.</w:t>
      </w:r>
    </w:p>
    <w:p>
      <w:pPr>
        <w:keepLines w:val="0"/>
        <w:spacing w:before="0" w:after="140" w:line="259" w:lineRule="auto"/>
      </w:pPr>
      <w:r>
        <w:rPr>
          <w:rFonts w:ascii="Aptos" w:hAnsi="Aptos"/>
          <w:b w:val="0"/>
          <w:color w:val="263244"/>
          <w:sz w:val="19"/>
        </w:rPr>
        <w:t>Incident severity is treated as a consequence-based governance determination rather than a label assigned by operational inconvenience alone. A localized workflow defect may remain operational if the affected population is limited, evidence remains reliable, and decision authority is intact. Conversely, a low-volume issue may become governance-significant when it affects a customer-facing representation, a confidence artifact, an executive report, a vendor dependency, an AI-generated classification, or an unresolved exposure that no single owner can contain.</w:t>
      </w:r>
    </w:p>
    <w:p>
      <w:pPr>
        <w:keepLines w:val="0"/>
        <w:spacing w:before="0" w:after="140" w:line="259" w:lineRule="auto"/>
      </w:pPr>
      <w:r>
        <w:rPr>
          <w:rFonts w:ascii="Aptos" w:hAnsi="Aptos"/>
          <w:b w:val="0"/>
          <w:color w:val="263244"/>
          <w:sz w:val="19"/>
        </w:rPr>
        <w:t>The operating concern is escalation survivability. Organizations often contain incidents locally until available response options narrow, evidence becomes retrospective, or external reliance has already formed. This framework therefore distinguishes visibility from severity, urgency from materiality, and notification from governance escalation. Classification must remain sensitive to propagation, recurrence, reliance, accountability ambiguity, evidence fragility, and the possibility that AI-assisted systems may amplify or suppress the incident signal before governance functions recognize institutional consequence.</w:t>
      </w:r>
    </w:p>
    <w:p>
      <w:pPr>
        <w:keepNext/>
        <w:spacing w:before="240" w:after="80"/>
      </w:pPr>
      <w:r>
        <w:rPr>
          <w:rFonts w:ascii="Aptos" w:hAnsi="Aptos"/>
          <w:b/>
          <w:color w:val="18365D"/>
          <w:sz w:val="21"/>
        </w:rPr>
        <w:t>Incident Severity Classifications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Severity Class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Meaning</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Escalation Posture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irregularity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localized deviation occurs without evidence loss, external reliance, recurring pattern, or unresolved accountability.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condition may be corrected within ordinary workflow management if context is preserved.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Owner-level documentation with trend review if recurrence appears.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Contained incident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 workflow, vendor, system, or AI-assisted process fails in a defined population and remains recoverable.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Governance interest arises from containment quality, evidence sufficiency, and restoration discipline.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Functional escalation when recovery exceeds local authority or creates exception debt.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Governance-significant incident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issue affects confidence, customer-facing information, decision evidence, role authority, or externally visible posture.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Institutional exposure exists even when operational disruption appears limited.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Governance function review with explicit decision owner and evidence package.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Material operational event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The condition threatens sustained service, recurring obligations, major dependency continuity, or executive-relevant exposure.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Response must account for institutional consequence, reliance boundaries, and residual risk acceptance.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Executive or designated oversight forum entry before informal containment narrows options.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Externally relied-upon incident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Customers, partners, investors, vendors, regulators, or public audiences may act on affected information or confidence.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incident consequence includes trust calibration and representation accuracy.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External-reliance review with communication authority, evidence basis, and limitation language.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Systemic exposure condition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Multiple workflows, control populations, vendor dependencies, or AI classifications are affected by a common failure mechanism.</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Local closure may create false confidence because the root condition survives across operating areas.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Cross-functional governance escalation with reassessment of scope and dependency map.</w:t>
            </w:r>
          </w:p>
        </w:tc>
      </w:tr>
    </w:tbl>
    <w:p>
      <w:pPr>
        <w:spacing w:after="80"/>
      </w:pPr>
    </w:p>
    <w:p>
      <w:r>
        <w:br w:type="page"/>
      </w:r>
    </w:p>
    <w:p>
      <w:pPr>
        <w:keepNext/>
        <w:spacing w:before="240" w:after="80"/>
      </w:pPr>
      <w:r>
        <w:rPr>
          <w:rFonts w:ascii="Aptos" w:hAnsi="Aptos"/>
          <w:b/>
          <w:color w:val="18365D"/>
          <w:sz w:val="21"/>
        </w:rPr>
        <w:t>Governance-Significant Event Distinctions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Event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Why It Exceeds Local Handling</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Evidence Needed</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Common Misclassification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Confidence artifact affected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report, attestation, evidence package, or status representation may no longer reflect reality.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Affected artifact, source basis, date range, reviewer disposition, and limitation notes.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Treated as an administrative correction because the underlying operation resumed.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Unclear accountable authority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staff can act, but no role can accept residual exposure or approve a narrowed response.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Decision log, authority map, escalation history, and unresolved options.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Handled as a staffing delay rather than a governance decision gap.</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Recurring exception normalized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Repeated exceptions indicate process design or control coverage failure rather than isolated variance.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Exception history, closure rationale, dependency pattern, and control mapping.</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Recorded as repeated low-severity events with no cumulative assessment.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External timetable pressure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Customer, partner, audit, investor, or executive deadline changes the consequence of delay.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Commitment timeline, reliance audience, communication history, and open dependency.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Classified by internal workload impact instead of reliance consequence.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AI-mediated classification dispute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Automated triage, ranking, summary, or recommendation may have shaped treatment before human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Prompt or input basis, generated output, override record, and human decision rationale.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Closed as ordinary review disagreement without preserving AI influence context.</w:t>
            </w:r>
          </w:p>
        </w:tc>
      </w:tr>
    </w:tbl>
    <w:p>
      <w:pPr>
        <w:spacing w:after="80"/>
      </w:pPr>
    </w:p>
    <w:p>
      <w:pPr>
        <w:keepNext/>
        <w:spacing w:before="360" w:after="140"/>
      </w:pPr>
      <w:r>
        <w:rPr>
          <w:rFonts w:ascii="Aptos" w:hAnsi="Aptos"/>
          <w:b/>
          <w:color w:val="18365D"/>
          <w:sz w:val="30"/>
        </w:rPr>
        <w:t>Operational Severity and Consequence-Based Escalation</w:t>
      </w:r>
    </w:p>
    <w:p>
      <w:pPr>
        <w:keepLines w:val="0"/>
        <w:spacing w:before="0" w:after="140" w:line="259" w:lineRule="auto"/>
      </w:pPr>
      <w:r>
        <w:rPr>
          <w:rFonts w:ascii="Aptos" w:hAnsi="Aptos"/>
          <w:b w:val="0"/>
          <w:color w:val="263244"/>
          <w:sz w:val="19"/>
        </w:rPr>
        <w:t>Severity calibration requires more than incident volume, outage duration, or visible urgency. The same operational defect may carry different governance consequence depending on affected audience, information sensitivity, evidence survivability, contractual reliance, vendor involvement, decision timing, and whether unresolved exposure migrates into a representation or confidence process. The classification model therefore evaluates consequence pathways before assigning escalation route.</w:t>
      </w:r>
    </w:p>
    <w:p>
      <w:pPr>
        <w:keepLines w:val="0"/>
        <w:spacing w:before="0" w:after="140" w:line="259" w:lineRule="auto"/>
      </w:pPr>
      <w:r>
        <w:rPr>
          <w:rFonts w:ascii="Aptos" w:hAnsi="Aptos"/>
          <w:b w:val="0"/>
          <w:color w:val="263244"/>
          <w:sz w:val="19"/>
        </w:rPr>
        <w:t>Governance escalation is warranted when local ownership cannot preserve decision integrity, evidence reliability, or institutional trust without additional authority. Escalation does not automatically transfer operational responsibility; it introduces the authority needed to decide tradeoffs that a local process owner cannot legitimately resolve alone. This distinction prevents incident reporting from becoming a substitute for decision routing.</w:t>
      </w:r>
    </w:p>
    <w:p>
      <w:pPr>
        <w:keepNext/>
        <w:spacing w:before="240" w:after="80"/>
      </w:pPr>
      <w:r>
        <w:rPr>
          <w:rFonts w:ascii="Aptos" w:hAnsi="Aptos"/>
          <w:b/>
          <w:color w:val="18365D"/>
          <w:sz w:val="21"/>
        </w:rPr>
        <w:t>Operational Escalation Thresholds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Threshold</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Trigger Pattern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Route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Timing Concern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Authority threshold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response requires approval to accept residual exposure, change priority, or defer remediation.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accountable governance owner or oversight forum with decision options.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Late escalation may leave only costly, public, or weakly evidenced options.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Reliance threshold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Affected information has been used in customer, executive, vendor, confidence, or external representations.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representation owner and evidence steward before broader reuse continues.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Delay allows stale or inaccurate statements to propagate.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Scope threshold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incident population is uncertain, expanding, or dependent on system mappings not yet validated.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cross-functional scoping review with operational and evidence owners.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Premature closure can exclude the material population from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threshold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Records, logs, screenshots, exports, summaries, or AI outputs may not reconstruct the incident later.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evidence integrity review before cleanup or deletion occurs.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Ordinary remediation may erase the basis for later governance assessment.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Dependency threshold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Resolution depends on vendors, integration owners, informal coordinators, or external AI services.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dependency governance and continuity planning owner.</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teams may accept vendor explanations without assessing institutional reliance.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Recurrence threshold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Similar events repeat across periods, teams, queues, or classifications despite local closure.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governance reassessment rather than repeated incident closure.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Exception normalization can convert design failure into routine workload.</w:t>
            </w:r>
          </w:p>
        </w:tc>
      </w:tr>
    </w:tbl>
    <w:p>
      <w:pPr>
        <w:spacing w:after="80"/>
      </w:pPr>
    </w:p>
    <w:p>
      <w:pPr>
        <w:keepNext/>
        <w:spacing w:before="240" w:after="80"/>
      </w:pPr>
      <w:r>
        <w:rPr>
          <w:rFonts w:ascii="Aptos" w:hAnsi="Aptos"/>
          <w:b/>
          <w:color w:val="18365D"/>
          <w:sz w:val="21"/>
        </w:rPr>
        <w:t>Incident Materiality Indicators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Indicator</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Signal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Institutional Consequence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Calibration Note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dependence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pending decision relies on incident-affected data, classification, or generated narrative.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decision may be validly made only if uncertainty is visible and accountable.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Low technical severity may still require governance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External reliance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An audience outside the originating team may rely on affected information or status.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Trust impact may exceed operational disruption.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Audience consequence can outweigh number of records affected.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Evidence fragility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Source records are incomplete, overwritten, transformed, or detached from workflow context.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Later reconstruction may fail even if the incident is operationally resolved.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Retain enough context to explain treatment and limitation.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Control coverage ambiguity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It is unclear whether the control or review process actually covered the affected population.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Confidence may be overstated until population is reconciled.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Classification must consider excluded queues and migrated workflows.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Authority ambiguity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Multiple teams participated but no role can confirm acceptance of remaining exposure.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Accountability may diffuse while documentation appears complete.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Consensus notes do not equal accountable decision authority.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AI influence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Automated triage, scoring, routing, summarization, or drafting shaped incident handling.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Human decision rationale may be anchored to machine-generated interpretation.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Preserve override ability and generated-output provenance.</w:t>
            </w:r>
          </w:p>
        </w:tc>
      </w:tr>
    </w:tbl>
    <w:p>
      <w:pPr>
        <w:spacing w:after="80"/>
      </w:pPr>
    </w:p>
    <w:p>
      <w:pPr>
        <w:keepNext/>
        <w:spacing w:before="240" w:after="80"/>
      </w:pPr>
      <w:r>
        <w:rPr>
          <w:rFonts w:ascii="Aptos" w:hAnsi="Aptos"/>
          <w:b/>
          <w:color w:val="18365D"/>
          <w:sz w:val="21"/>
        </w:rPr>
        <w:t>Severity Calibration Models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Calibration Lens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What It Measures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Where It Misleads</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Corrective Governance Check</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Volume lens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Number of records, users, workflows, or artifacts affected.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Small populations may include high-consequence decisions or external reliance.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Identify whether any affected item carries confidence, executive, or customer significance.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Duration lens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Elapsed time between detection, containment, recovery, and closure.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Short incidents can create durable misclassification or evidence gaps.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Evaluate whether flawed outputs or representations survived after recovery.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Visibility lens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How broadly the incident is seen through dashboards, alerts, or reports.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Highly visible noise can displace less visible but institutionally material exposure.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Test whether hidden dependencies, manual workarounds, or AI rankings suppressed signal.</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Recoverability lens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Ability to restore process function and continue operations.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recovery may not restore trust, provenance, or decision reconstructability.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Confirm evidence, authority, and representation correction after restoration.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Containment lens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Whether affected activity is bounded to one team, vendor, queue, or system.</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Apparent boundaries may reflect incomplete scoping or stale process maps.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Reconcile actual workflow path against documented governance population.</w:t>
            </w:r>
          </w:p>
        </w:tc>
      </w:tr>
    </w:tbl>
    <w:p>
      <w:pPr>
        <w:spacing w:after="80"/>
      </w:pPr>
    </w:p>
    <w:p>
      <w:pPr>
        <w:keepNext/>
        <w:spacing w:before="240" w:after="80"/>
      </w:pPr>
      <w:r>
        <w:rPr>
          <w:rFonts w:ascii="Aptos" w:hAnsi="Aptos"/>
          <w:b/>
          <w:color w:val="18365D"/>
          <w:sz w:val="21"/>
        </w:rPr>
        <w:t>Operational Consequence Classifications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Consequence Class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Manifestation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Concern</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Response Implication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Continuity consequence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Workflows pause, degrade, bypass controls, or depend on manual compensation.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heroics may hide a governance dependency failure.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continuity owner review and post-containment dependency assessment.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Incident records, AI outputs, logs, or decisions cannot be reconstructed reliably.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Closure may become unverifiable even if response actions occurred.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Preserve source basis before cleanup, summarization, or export replacement.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Confidentiality consequence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Sensitive context becomes visible through reports, routing, generated summaries, or vendor support.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Exposure may propagate indirectly through workflow artifacts.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Limit downstream reuse and review audience boundary.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Representation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Status, confidence, executive narrative, or customer communication no longer matches reality.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Institutional trust may depend on correcting bounded statements.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Escalate to representation authority and evidence steward.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Accountability consequence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incident crosses teams or providers and no owner can resolve residual exposure alone.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Participation may obscure who accepted the final condition.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Assign decision owner before closure language is finalized.</w:t>
            </w:r>
          </w:p>
        </w:tc>
      </w:tr>
    </w:tbl>
    <w:p>
      <w:pPr>
        <w:spacing w:after="80"/>
      </w:pPr>
    </w:p>
    <w:p>
      <w:pPr>
        <w:keepNext/>
        <w:spacing w:before="240" w:after="80"/>
      </w:pPr>
      <w:r>
        <w:rPr>
          <w:rFonts w:ascii="Aptos" w:hAnsi="Aptos"/>
          <w:b/>
          <w:color w:val="18365D"/>
          <w:sz w:val="21"/>
        </w:rPr>
        <w:t>Visibility-Versus-Severity Distinctions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Visibility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Possible False Signal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Actual Governance Question</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Example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High alert volume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incident appears severe because many notifications fire.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Do alerts represent material consequence or repetitive detection noise?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dashboard floods during integration retry while evidence remains intact.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Low alert volume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The incident appears minor because few records trigger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Does the affected subset include externally relied-upon or decision-critical artifacts?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Three generated executive summaries cite stale dependency status.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Green dashboard status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environment appears stable because operational metrics are normal.</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Do metrics exclude affected workflow queues, manual overrides, or AI-routed cases?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queue migration leaves old monitoring green while new workstream fails.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Executive attention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The incident appears material because leadership is aware.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Has leadership made a decision or only received notice?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 briefing reaches executives without authority to approve residual exposure.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Customer inquiry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incident appears externally material because a customer asks about it.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Is the inquiry based on actual reliance, perceived posture, or incomplete communication?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customer requests status after seeing a delayed public registry record update.</w:t>
            </w:r>
          </w:p>
        </w:tc>
      </w:tr>
    </w:tbl>
    <w:p>
      <w:pPr>
        <w:spacing w:after="80"/>
      </w:pPr>
    </w:p>
    <w:p>
      <w:pPr>
        <w:keepNext/>
        <w:spacing w:before="240" w:after="80"/>
      </w:pPr>
      <w:r>
        <w:rPr>
          <w:rFonts w:ascii="Aptos" w:hAnsi="Aptos"/>
          <w:b/>
          <w:color w:val="18365D"/>
          <w:sz w:val="21"/>
        </w:rPr>
        <w:t>Incident Propagation Pathways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Pathway</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How Exposure Moves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Risk</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Containment Requirement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propagation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defect moves through queues, handoffs, approvals, or generated work products.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Later teams may trust upstream classification without knowing incident context.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Mark affected artifacts and maintain transfer notes.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propagation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Exports, screenshots, summaries, or copied records travel beyond the source system.</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Source limitations may disappear while the artifact remains relied upon.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Preserve provenance and limitation language with reused evidence.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Vendor propagation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Provider support, managed services, or AI tooling receive operational context.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 handlers may transform, summarize, or redistribute incident information.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Define provider-use boundaries and retrieveable support record expectations.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Representation propagation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Status language is repeated in reports, customer updates, executive decks, or confidence packages.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Narrative confidence may increase through repetition rather than evidence.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Version statements and reconcile them against current incident facts.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 output propagation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summaries, classifications, or recommendations are reused in subsequent workflows.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Transformed interpretation may become institutional memory.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Link generated output to source basis, reviewer, and decision disposition.</w:t>
            </w:r>
          </w:p>
        </w:tc>
      </w:tr>
    </w:tbl>
    <w:p>
      <w:pPr>
        <w:spacing w:after="80"/>
      </w:pPr>
    </w:p>
    <w:p>
      <w:pPr>
        <w:keepNext/>
        <w:spacing w:before="360" w:after="140"/>
      </w:pPr>
      <w:r>
        <w:rPr>
          <w:rFonts w:ascii="Aptos" w:hAnsi="Aptos"/>
          <w:b/>
          <w:color w:val="18365D"/>
          <w:sz w:val="30"/>
        </w:rPr>
        <w:t>AI-Assisted Incident Visibility and Escalation Distortion</w:t>
      </w:r>
    </w:p>
    <w:p>
      <w:pPr>
        <w:keepLines w:val="0"/>
        <w:spacing w:before="0" w:after="140" w:line="259" w:lineRule="auto"/>
      </w:pPr>
      <w:r>
        <w:rPr>
          <w:rFonts w:ascii="Aptos" w:hAnsi="Aptos"/>
          <w:b w:val="0"/>
          <w:color w:val="263244"/>
          <w:sz w:val="19"/>
        </w:rPr>
        <w:t>AI-assisted systems can change incident visibility before governance actors recognize that classification has changed. Generated summaries may compress unresolved facts into a coherent narrative. Automated triage may rank incidents by operational pattern rather than institutional consequence. Dashboard synthesis may privilege clean trend lines over exception context. AI-assisted incident handling therefore requires review of how the incident became visible, how it was classified, what information was suppressed, and whether generated outputs shaped the response path.</w:t>
      </w:r>
    </w:p>
    <w:p>
      <w:pPr>
        <w:keepLines w:val="0"/>
        <w:spacing w:before="0" w:after="140" w:line="259" w:lineRule="auto"/>
      </w:pPr>
      <w:r>
        <w:rPr>
          <w:rFonts w:ascii="Aptos" w:hAnsi="Aptos"/>
          <w:b w:val="0"/>
          <w:color w:val="263244"/>
          <w:sz w:val="19"/>
        </w:rPr>
        <w:t>The governance risk is not limited to incorrect model output. AI systems may alter urgency, confidence, audience, routing, and memory. An incident can be under-escalated because the generated summary appears routine, or over-escalated because automated language amplifies uncertainty without context. In both cases, the organization must preserve human accountability for classification, escalation, and response proportionality.</w:t>
      </w:r>
    </w:p>
    <w:p>
      <w:pPr>
        <w:keepNext/>
        <w:spacing w:before="240" w:after="80"/>
      </w:pPr>
      <w:r>
        <w:rPr>
          <w:rFonts w:ascii="Aptos" w:hAnsi="Aptos"/>
          <w:b/>
          <w:color w:val="18365D"/>
          <w:sz w:val="21"/>
        </w:rPr>
        <w:t>AI-Assisted Incident Visibility Concerns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AI Function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Visibility Effect</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Concern</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Required Treatment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Automated triage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Incidents are ranked before a human reviewer evaluates reliance or exposure.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Priority may reflect historical pattern rather than current institutional consequence.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Retain override path and record severity rationale.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Generated summary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Complex incident history is reduced into concise narrative status.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Nuance, minority facts, uncertainty, and scope caveats may disappear.</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Review summary against source facts and preserve limitation notes.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Anomaly detection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Unusual patterns are surfaced through statistical or behavioral indicators.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Low-signal material events may remain hidden if they resemble prior conditions.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Pair anomaly review with consequence-based triggers.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Queue routing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directs incidents to teams, vendors, or specialists based on classification.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Misrouting can delay governance recognition and evidence preservation.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Monitor routing exceptions and unresolved dependency chains.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Automated drafting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Communications, closure notes, or executive updates are drafted using generated language.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Drafted confidence may exceed evidence support or accountable decision status.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authority review before use in relied-upon communications.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Dashboard synthesis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Multiple operational inputs are merged into a simplified incident status.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Aggregated status can hide excluded populations, delayed feeds, or manual workarounds.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Validate underlying population and data freshness before escalation closure.</w:t>
            </w:r>
          </w:p>
        </w:tc>
      </w:tr>
    </w:tbl>
    <w:p>
      <w:pPr>
        <w:spacing w:after="80"/>
      </w:pPr>
    </w:p>
    <w:p>
      <w:pPr>
        <w:keepNext/>
        <w:spacing w:before="240" w:after="80"/>
      </w:pPr>
      <w:r>
        <w:rPr>
          <w:rFonts w:ascii="Aptos" w:hAnsi="Aptos"/>
          <w:b/>
          <w:color w:val="18365D"/>
          <w:sz w:val="21"/>
        </w:rPr>
        <w:t>AI-Mediated Escalation Distortion Patterns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Distortion Pattern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Appearance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Effect</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Countermeasure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Severity suppression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issue is classified as routine because language resembles prior low-impact cases.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Governance-significant exposure may remain in local handling.</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reliance and authority checks independent of AI severity label.</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Severity inflation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language emphasizes uncertainty or potential impact without scoping evidence.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Escalation channels saturate and decision attention is diluted.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Separate plausible impact from reviewed consequence.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Recommendation anchoring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Reviewers accept suggested remediation path before considering alternatives.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options narrow without accountable tradeoff review.</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Record considered alternatives and decision-owner rationale.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Narrative smoothing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updates remove disagreement, caveats, or unresolved dependency detail.</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Executives receive a coherent story that understates uncertainty.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Preserve exception notes and unresolved exposure markers.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deference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Teams treat AI classification as stronger evidence than operator knowledge.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Local facts may be discounted when they conflict with generated posture.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human challenge path and documented override handling.</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Visibility displacement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dashboards emphasize issues with abundant data while sparse but material incidents receive little attention.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Governance monitoring becomes biased toward instrumented workflows.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Use sampling and manual exception intake for less observable processes.</w:t>
            </w:r>
          </w:p>
        </w:tc>
      </w:tr>
    </w:tbl>
    <w:p>
      <w:pPr>
        <w:spacing w:after="80"/>
      </w:pPr>
    </w:p>
    <w:p>
      <w:pPr>
        <w:keepNext/>
        <w:spacing w:before="240" w:after="80"/>
      </w:pPr>
      <w:r>
        <w:rPr>
          <w:rFonts w:ascii="Aptos" w:hAnsi="Aptos"/>
          <w:b/>
          <w:color w:val="18365D"/>
          <w:sz w:val="21"/>
        </w:rPr>
        <w:t>Dashboard and Summary Compression Risks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Compression Form</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What Gets Lost</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Incident Consequence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Review Requirement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Single status color</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Scope uncertainty, unresolved dependencies, and partial containment disappear.</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Green status may be read as closure even while exposure remains.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status definitions tied to evidence and decision authority.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Aged incident count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Materiality, affected audience, and reliance condition are reduced to time open.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Old minor incidents may crowd out newer high-consequence issues.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Pair aging with consequence class and escalation threshold.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Executive narrative digest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Source disagreements, model limitations, and manual workarounds are omitted.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Leadership may approve direction based on incomplete context.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Attach exception appendix or decision caveat where needed.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Automated root-cause label</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Preliminary classification becomes treated as final explanation.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Remediation may target visible symptom rather than governance failure path.</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Revalidate root cause after containment and evidence review.</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Trend normalization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Recurring incidents become expected baseline in reports.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Exception normalization reduces institutional urgency.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Flag recurrence as reassessment trigger rather than ordinary variance.</w:t>
            </w:r>
          </w:p>
        </w:tc>
      </w:tr>
    </w:tbl>
    <w:p>
      <w:pPr>
        <w:spacing w:after="80"/>
      </w:pPr>
    </w:p>
    <w:p>
      <w:pPr>
        <w:keepNext/>
        <w:spacing w:before="360" w:after="140"/>
      </w:pPr>
      <w:r>
        <w:rPr>
          <w:rFonts w:ascii="Aptos" w:hAnsi="Aptos"/>
          <w:b/>
          <w:color w:val="18365D"/>
          <w:sz w:val="30"/>
        </w:rPr>
        <w:t>Escalation Routing, Response Proportionality, and Incident Survivability</w:t>
      </w:r>
    </w:p>
    <w:p>
      <w:pPr>
        <w:keepLines w:val="0"/>
        <w:spacing w:before="0" w:after="140" w:line="259" w:lineRule="auto"/>
      </w:pPr>
      <w:r>
        <w:rPr>
          <w:rFonts w:ascii="Aptos" w:hAnsi="Aptos"/>
          <w:b w:val="0"/>
          <w:color w:val="263244"/>
          <w:sz w:val="19"/>
        </w:rPr>
        <w:t>Escalation routing must match the decision required, not merely the team affected. Operational owners can restore service, correct records, and coordinate containment, but governance escalation is necessary when institutional consequence requires authority over confidence, representation, residual exposure, cross-functional dependency, vendor reliance, or external communication. The route must therefore distinguish informational escalation from decisional escalation.</w:t>
      </w:r>
    </w:p>
    <w:p>
      <w:pPr>
        <w:keepLines w:val="0"/>
        <w:spacing w:before="0" w:after="140" w:line="259" w:lineRule="auto"/>
      </w:pPr>
      <w:r>
        <w:rPr>
          <w:rFonts w:ascii="Aptos" w:hAnsi="Aptos"/>
          <w:b w:val="0"/>
          <w:color w:val="263244"/>
          <w:sz w:val="19"/>
        </w:rPr>
        <w:t>Response proportionality depends on balancing rapid containment with evidence preservation and accountability clarity. Over-response can create unnecessary disruption, public ambiguity, and governance saturation. Under-response can allow unresolved exposure to survive as institutional memory, external representation, or recurring exception. The operating model requires enough escalation to preserve decision legitimacy without converting every operational defect into executive theatre.</w:t>
      </w:r>
    </w:p>
    <w:p>
      <w:r>
        <w:br w:type="page"/>
      </w:r>
    </w:p>
    <w:p>
      <w:pPr>
        <w:keepNext/>
        <w:spacing w:before="240" w:after="80"/>
      </w:pPr>
      <w:r>
        <w:rPr>
          <w:rFonts w:ascii="Aptos" w:hAnsi="Aptos"/>
          <w:b/>
          <w:color w:val="18365D"/>
          <w:sz w:val="21"/>
        </w:rPr>
        <w:t>Escalation Routing Structures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Route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Appropriate Use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Decision Authority Needed</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Failure If Misrouted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owner route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Contained execution issue with clear population, owner, and recovery path.</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Authority to restore workflow and document closure.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Governance issue remains hidden under ordinary task completion.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Governance function route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Incident affects control reliability, evidence sufficiency, confidence, or accountability mapping.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Authority to require review, preserve evidence, and define closure condition.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Incident closes without resolving institutional exposure.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Cross-functional route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Resolution depends on multiple teams, system owners, vendors, or process boundaries.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Authority to coordinate dependency resolution and assign residual ownership.</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Teams optimize locally while shared exposure persists.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Executive route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Incident requires tradeoff among reputation, customer impact, financial exposure, continuity, or material resource allocation.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Authority to accept institutional consequence or fund response.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Executive entry occurs after informal containment narrows options.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Vendor governance route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 provider behavior, service maturity, support handling, or AI processing affects incident outcome.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Authority to escalate provider dependency, continuity, or representation concerns.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Vendor explanations substitute for institutional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External reliance route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Incident may affect customers, partners, investors, regulators, or public posture.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Authority over communication boundary, evidence support, and representation correction.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Messages become inconsistent or exceed documented facts.</w:t>
            </w:r>
          </w:p>
        </w:tc>
      </w:tr>
    </w:tbl>
    <w:p>
      <w:pPr>
        <w:spacing w:after="80"/>
      </w:pPr>
    </w:p>
    <w:p>
      <w:pPr>
        <w:keepNext/>
        <w:spacing w:before="240" w:after="80"/>
      </w:pPr>
      <w:r>
        <w:rPr>
          <w:rFonts w:ascii="Aptos" w:hAnsi="Aptos"/>
          <w:b/>
          <w:color w:val="18365D"/>
          <w:sz w:val="21"/>
        </w:rPr>
        <w:t>Escalation Trigger Conditions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Trigger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Signal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Escalation Reason</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Minimum Escalation Record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Unresolved exposure persists after containment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resumes while known uncertainty remains.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Closure without residual ownership creates false confidence.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Residual condition, owner, decision needed, and next review date.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Incident crosses governance boundary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issue affects evidence, confidence, external representation, or authority.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Local team lacks mandate to decide institutional consequence.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Affected governance artifact, audience, and decision owner.</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Classification disagreement remains unresolved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Operators, AI system, vendor, and governance reviewers assign different severity.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Disagreement itself may indicate insufficient evidence or authority.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Competing classifications, source basis, and final rationale.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Material population is uncertain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Affected records, users, workflows, or generated outputs cannot be scoped confidently.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Response cannot be proportionate without knowing scope.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Known population, excluded population, assumptions, and validation plan.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 output influenced response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Triage, prioritization, summary, or recommendation shaped treatment.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Accountability requires distinguishing machine influence from human decision.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output, reviewer disposition, override, and limitation.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External reliance has formed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Incident-affected information has entered customer, partner, executive, or public use.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Correction and reliance limitation require formal authority.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Statement history, audience, evidence basis, and communication owner.</w:t>
            </w:r>
          </w:p>
        </w:tc>
      </w:tr>
    </w:tbl>
    <w:p>
      <w:pPr>
        <w:spacing w:after="80"/>
      </w:pPr>
    </w:p>
    <w:p>
      <w:r>
        <w:br w:type="page"/>
      </w:r>
    </w:p>
    <w:p>
      <w:pPr>
        <w:keepNext/>
        <w:spacing w:before="240" w:after="80"/>
      </w:pPr>
      <w:r>
        <w:rPr>
          <w:rFonts w:ascii="Aptos" w:hAnsi="Aptos"/>
          <w:b/>
          <w:color w:val="18365D"/>
          <w:sz w:val="21"/>
        </w:rPr>
        <w:t>Governance Response Expectations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Response Area</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Expected Governance Treatment</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Example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Closure Condition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Classification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Severity must be recalibrated when scope, reliance, evidence, or authority changes.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routine ticket becomes governance-significant after entering an audit evidence pack.</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Updated classification and rationale are recorded.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preservation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Source artifacts, generated outputs, reviewer notes, and limitation context remain reconstructable.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summary is retained with prompt basis and source ticket references.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Later reviewer can determine why response path was chosen.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Containment validation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containment is tested against the actual affected population.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Manual workaround is checked against migrated queues and vendor handoffs.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Known exclusions and residual gaps are documented.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authority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Residual exposure, external messaging, or delayed remediation is approved by the correct owner.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 customer update is held until representation authority reviews evidence.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Approval shows accountable authority, not mere awareness.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Recurrence assessment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Repeated similar incidents trigger reassessment of control design, process reality, or AI routing.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Monthly exception pattern is removed from routine closure and sent to governance review.</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Pattern disposition is linked to corrective ownership.</w:t>
            </w:r>
          </w:p>
        </w:tc>
      </w:tr>
    </w:tbl>
    <w:p>
      <w:pPr>
        <w:spacing w:after="80"/>
      </w:pPr>
    </w:p>
    <w:p>
      <w:pPr>
        <w:keepNext/>
        <w:spacing w:before="240" w:after="80"/>
      </w:pPr>
      <w:r>
        <w:rPr>
          <w:rFonts w:ascii="Aptos" w:hAnsi="Aptos"/>
          <w:b/>
          <w:color w:val="18365D"/>
          <w:sz w:val="21"/>
        </w:rPr>
        <w:t>Response Proportionality Structures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Structure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Purpose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Tradeoff</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Guardrail</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Triage gate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Separates ordinary operational issues from governance-significant incidents.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Too narrow a gate suppresses institutional exposure; too broad saturates review.</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Use consequence and reliance criteria, not alert volume alone.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Containment note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Captures temporary actions taken before full governance decision.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Fast containment may preserve continuity but obscure residual risk.</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Document what was stabilized, what remains open, and who owns it.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Escalation packet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Provides decision authority with facts, options, evidence, and limitations.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Excessive detail delays decision; sparse facts cause weak approval.</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Include only decision-relevant population, consequence, options, and caveats.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Closure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Confirms that restoration, evidence, communication, and accountability conditions are complete.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closure may occur before governance closure.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separate closure status where institutional exposure remains.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Post-incident recalibration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Adjusts severity model, routing rules, dashboards, or AI prompts based on observed failure.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Constant recalibration can destabilize process; no recalibration preserves drift.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Limit recalibration to evidence-backed patterns and material classification errors.</w:t>
            </w:r>
          </w:p>
        </w:tc>
      </w:tr>
    </w:tbl>
    <w:p>
      <w:pPr>
        <w:spacing w:after="80"/>
      </w:pPr>
    </w:p>
    <w:p>
      <w:pPr>
        <w:keepNext/>
        <w:spacing w:before="240" w:after="80"/>
      </w:pPr>
      <w:r>
        <w:rPr>
          <w:rFonts w:ascii="Aptos" w:hAnsi="Aptos"/>
          <w:b/>
          <w:color w:val="18365D"/>
          <w:sz w:val="21"/>
        </w:rPr>
        <w:t>Incident Survivability Expectations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Survivability Element</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Why It Matters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Minimum Evidence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Failure Pattern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Classification rationale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Later reviewers must understand why an incident received its severity level.</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Severity basis, consequence lens, disagreement notes, and final owner.</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Records show status changes but not the reasoning behind them.</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Scope reconstruction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Affected population must remain knowable after remediation or data movement.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Queries, filters, affected queues, exclusions, and validation method.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Teams cannot determine whether omitted records were material.</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continuity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Turnover must not erase who accepted residual exposure or authorized communication.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owner, authority basis, approved option, and limitation.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New leadership inherits unexplained closure language.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AI influence trace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classifications, summaries, or recommendations may have shaped response.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Inputs, outputs, reviewer disposition, override, and reuse context.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AI narrative becomes institutional memory without provenance.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 reliance record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Customer, partner, executive, or public reliance must be reconstructable.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Audience, message, evidence basis, timing, and correction history.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Later representation cannot be aligned to incident facts.</w:t>
            </w:r>
          </w:p>
        </w:tc>
      </w:tr>
    </w:tbl>
    <w:p>
      <w:pPr>
        <w:spacing w:after="80"/>
      </w:pPr>
    </w:p>
    <w:p>
      <w:pPr>
        <w:keepNext/>
        <w:spacing w:before="360" w:after="140"/>
      </w:pPr>
      <w:r>
        <w:rPr>
          <w:rFonts w:ascii="Aptos" w:hAnsi="Aptos"/>
          <w:b/>
          <w:color w:val="18365D"/>
          <w:sz w:val="30"/>
        </w:rPr>
        <w:t>Incident Classification and Governance Escalation Operating Standard</w:t>
      </w:r>
    </w:p>
    <w:p>
      <w:pPr>
        <w:keepLines w:val="0"/>
        <w:spacing w:before="0" w:after="160" w:line="259" w:lineRule="auto"/>
      </w:pPr>
      <w:r>
        <w:rPr>
          <w:rFonts w:ascii="Aptos" w:hAnsi="Aptos"/>
          <w:b w:val="0"/>
          <w:color w:val="263244"/>
          <w:sz w:val="19"/>
        </w:rPr>
        <w:t>Incident classification under this framework shall be operated as a consequence-based governance function rather than a purely technical, operational, or volume-driven label. Organizations implementing this framework shall distinguish operational issue, incident, governance-significant incident, material operational event, escalation condition, unresolved exposure, institutional consequence, externally relied-upon incident, and AI-mediated incident visibility when determining response route and closure expectations.</w:t>
      </w:r>
    </w:p>
    <w:p>
      <w:pPr>
        <w:keepLines w:val="0"/>
        <w:spacing w:before="0" w:after="160" w:line="259" w:lineRule="auto"/>
      </w:pPr>
      <w:r>
        <w:rPr>
          <w:rFonts w:ascii="Aptos" w:hAnsi="Aptos"/>
          <w:b w:val="0"/>
          <w:color w:val="263244"/>
          <w:sz w:val="19"/>
        </w:rPr>
        <w:t>Severity shall be calibrated using scope, reliance, evidence integrity, accountability clarity, continuity impact, representation effect, recurrence pattern, vendor dependency, and AI influence. Visibility shall not be treated as severity, and severity shall not be suppressed because an incident remains locally contained. Recurring exceptions, unresolved dependencies, stale classifications, and AI-assisted prioritization shall be reviewed for governance significance when they alter institutional consequence.</w:t>
      </w:r>
    </w:p>
    <w:p>
      <w:pPr>
        <w:keepLines w:val="0"/>
        <w:spacing w:before="0" w:after="160" w:line="259" w:lineRule="auto"/>
      </w:pPr>
      <w:r>
        <w:rPr>
          <w:rFonts w:ascii="Aptos" w:hAnsi="Aptos"/>
          <w:b w:val="0"/>
          <w:color w:val="263244"/>
          <w:sz w:val="19"/>
        </w:rPr>
        <w:t>Escalation shall be routed to the authority capable of deciding the matter requiring decision. Operational restoration may remain with the process owner, while governance escalation may be required for evidence preservation, residual exposure acceptance, external communication, confidence correction, vendor dependency review, executive tradeoff, or cross-functional accountability assignment. Informational notification shall not be treated as decisional escalation unless authority, rationale, and disposition are preserved.</w:t>
      </w:r>
    </w:p>
    <w:p>
      <w:pPr>
        <w:keepLines w:val="0"/>
        <w:spacing w:before="0" w:after="160" w:line="259" w:lineRule="auto"/>
      </w:pPr>
      <w:r>
        <w:rPr>
          <w:rFonts w:ascii="Aptos" w:hAnsi="Aptos"/>
          <w:b w:val="0"/>
          <w:color w:val="263244"/>
          <w:sz w:val="19"/>
        </w:rPr>
        <w:t>AI-assisted incident handling shall remain reviewable and accountable. Automated triage, generated summaries, ranking systems, anomaly detection, dashboard synthesis, and drafted incident communications shall not replace accountable severity determination. Where AI output influences classification, prioritization, escalation, closure, or external representation, the organization shall preserve source basis, generated output, reviewer disposition, override record, and limitation context.</w:t>
      </w:r>
    </w:p>
    <w:p>
      <w:pPr>
        <w:keepLines w:val="0"/>
        <w:spacing w:before="0" w:after="0" w:line="259" w:lineRule="auto"/>
      </w:pPr>
      <w:r>
        <w:rPr>
          <w:rFonts w:ascii="Aptos" w:hAnsi="Aptos"/>
          <w:b w:val="0"/>
          <w:color w:val="263244"/>
          <w:sz w:val="19"/>
        </w:rPr>
        <w:t>The operating standard for this section is incident escalation survivability. An incident is not governance-complete merely because operations resume, alerts clear, or a closure note is entered. Governance closure requires that consequence, classification, evidence, accountable authority, reliance boundary, residual exposure, and AI influence remain reconstructable after the immediate operational pressure has passed.</w:t>
      </w:r>
    </w:p>
    <w:sectPr w:rsidR="00FC693F" w:rsidRPr="0006063C" w:rsidSect="00034616">
      <w:footerReference w:type="default" r:id="rId9"/>
      <w:pgSz w:w="12240" w:h="15840"/>
      <w:pgMar w:top="1037" w:right="792" w:bottom="792" w:left="792" w:header="504"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color w:val="64738C"/>
        <w:sz w:val="15"/>
      </w:rPr>
      <w:t>Paladin Compliance Governance Binder | Section 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24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