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pPr>
      <w:r>
        <w:rPr>
          <w:rFonts w:ascii="Aptos Display" w:hAnsi="Aptos Display" w:eastAsia="Aptos Display"/>
          <w:b/>
          <w:color w:val="17365D"/>
          <w:sz w:val="50"/>
        </w:rPr>
        <w:t>3.9 Governance Adoption, Operational Maturity Progression, and Implementation Roadmap</w:t>
      </w:r>
    </w:p>
    <w:p>
      <w:pPr>
        <w:spacing w:before="0" w:after="160" w:line="259" w:lineRule="auto"/>
      </w:pPr>
      <w:r>
        <w:rPr>
          <w:rFonts w:ascii="Aptos" w:hAnsi="Aptos" w:eastAsia="Aptos"/>
          <w:color w:val="1F2937"/>
          <w:sz w:val="21"/>
        </w:rPr>
        <w:t>Governance adoption is an operational progression, not a single administrative event. This governance framework is intended to be implemented through staged capability growth that preserves usability, accountability, evidence linkage, and institutional coherence while the organization develops maturity over time. The objective is not immediate theoretical completeness. The objective is durable governance operation that can survive ordinary pressure, staffing change, workflow evolution, vendor change, AI-assisted acceleration, and external reliance.</w:t>
      </w:r>
    </w:p>
    <w:p>
      <w:pPr>
        <w:spacing w:before="0" w:after="160" w:line="259" w:lineRule="auto"/>
      </w:pPr>
      <w:r>
        <w:rPr>
          <w:rFonts w:ascii="Aptos" w:hAnsi="Aptos" w:eastAsia="Aptos"/>
          <w:color w:val="1F2937"/>
          <w:sz w:val="21"/>
        </w:rPr>
        <w:t>Organizations implementing this framework should treat adoption as a consequence-scaled roadmap. Foundational governance capabilities are established first, high-consequence workflows receive earlier structure, and lower-consequence materials mature as operational use clarifies. A governance program that attempts to implement every artifact at maximum density before it has operational ownership often becomes ceremonial. A staged implementation preserves momentum without allowing partial adoption to become unmanaged ambiguity.</w:t>
      </w:r>
    </w:p>
    <w:p>
      <w:pPr>
        <w:keepNext/>
        <w:spacing w:before="360" w:after="160"/>
      </w:pPr>
      <w:r>
        <w:rPr>
          <w:rFonts w:ascii="Aptos Display" w:hAnsi="Aptos Display" w:eastAsia="Aptos Display"/>
          <w:b/>
          <w:color w:val="17365D"/>
          <w:sz w:val="54"/>
        </w:rPr>
        <w:t>Governance Adoption Philosophy</w:t>
      </w:r>
    </w:p>
    <w:p>
      <w:pPr>
        <w:spacing w:before="0" w:after="160" w:line="259" w:lineRule="auto"/>
      </w:pPr>
      <w:r>
        <w:rPr>
          <w:rFonts w:ascii="Aptos" w:hAnsi="Aptos" w:eastAsia="Aptos"/>
          <w:color w:val="1F2937"/>
          <w:sz w:val="21"/>
        </w:rPr>
        <w:t>Governance maturity develops when institutional practices become explainable, repeatable, evidence-linked, and proportionate to consequence. Adoption therefore begins with the capabilities that make governance real: ownership, scope clarity, decision authority, evidence linkage, review triggers, escalation routing, and document stewardship. Later maturity expands these capabilities into integrated monitoring, confidence calibration, dependency visibility, incident reconstruction, and long-horizon adaptation.</w:t>
      </w:r>
    </w:p>
    <w:p>
      <w:pPr>
        <w:spacing w:before="0" w:after="160" w:line="259" w:lineRule="auto"/>
      </w:pPr>
      <w:r>
        <w:rPr>
          <w:rFonts w:ascii="Aptos" w:hAnsi="Aptos" w:eastAsia="Aptos"/>
          <w:color w:val="1F2937"/>
          <w:sz w:val="21"/>
        </w:rPr>
        <w:t>The adoption philosophy is pragmatic. An organization may operate legitimately at an early maturity stage when limitations are visible and responsibilities are controlled. Fragility emerges when partial adoption is represented as mature governance, when implementation status is unclear, or when documentation volume is mistaken for institutional readiness. Bounded maturity is stronger than inflated maturity because it allows leadership, operators, reviewers, customers, and confidence audiences to understand what governance can and cannot support.</w:t>
      </w:r>
    </w:p>
    <w:p>
      <w:pPr>
        <w:keepNext/>
        <w:spacing w:before="280" w:after="120"/>
      </w:pPr>
      <w:r>
        <w:rPr>
          <w:rFonts w:ascii="Aptos Display" w:hAnsi="Aptos Display" w:eastAsia="Aptos Display"/>
          <w:b/>
          <w:color w:val="17365D"/>
          <w:sz w:val="36"/>
        </w:rPr>
        <w:t>Governance Adoption Stages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Adoption Stage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Primary Objective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Operating Emphasis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Maturity Risk</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Initial stabilization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Identify governed workflows, accountable owners, and current artifact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Create minimum viable traceability before expanding control volume.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Teams adopt documents without knowing what is active, optional, or unsupported.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Foundational implementation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Connect authority, evidence, escalation, and stewardship to priority workflows.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Operationalize controls where consequence and reliance are highest.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Foundational records exist but remain disconnected from daily use.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Integrated operation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Coordinate safeguards, monitoring, training, evidence review, incidents, and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 governance signals to detect drift and maintain coherence.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Functions mature locally while institutional awareness remains fragmented.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Adaptive sustainability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Maintain governance through change, turnover, AI expansion, vendor shifts, and confidence reliance.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Reassess by event, consequence, dependency, and evidence freshness.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appears mature but depends on historical assumptions.</w:t>
            </w:r>
          </w:p>
        </w:tc>
      </w:tr>
    </w:tbl>
    <w:p>
      <w:pPr>
        <w:spacing w:after="80"/>
      </w:pPr>
    </w:p>
    <w:p>
      <w:pPr>
        <w:keepNext/>
        <w:spacing w:before="360" w:after="160"/>
      </w:pPr>
      <w:r>
        <w:rPr>
          <w:rFonts w:ascii="Aptos Display" w:hAnsi="Aptos Display" w:eastAsia="Aptos Display"/>
          <w:b/>
          <w:color w:val="17365D"/>
          <w:sz w:val="54"/>
        </w:rPr>
        <w:t>Performative Versus Survivable Implementation</w:t>
      </w:r>
    </w:p>
    <w:p>
      <w:pPr>
        <w:spacing w:before="0" w:after="160" w:line="259" w:lineRule="auto"/>
      </w:pPr>
      <w:r>
        <w:rPr>
          <w:rFonts w:ascii="Aptos" w:hAnsi="Aptos" w:eastAsia="Aptos"/>
          <w:color w:val="1F2937"/>
          <w:sz w:val="21"/>
        </w:rPr>
        <w:t>Performative implementation optimizes for visible completion. Survivable implementation optimizes for operational usefulness under pressure. The distinction matters because governance can look mature while remaining unusable during review, incident response, turnover, vendor disruption, or executive challenge. Implementation should therefore test whether artifacts can be used, explained, maintained, and reconstructed, not only whether they are stored and approved.</w:t>
      </w:r>
    </w:p>
    <w:p>
      <w:pPr>
        <w:spacing w:before="0" w:after="160" w:line="259" w:lineRule="auto"/>
      </w:pPr>
      <w:r>
        <w:rPr>
          <w:rFonts w:ascii="Aptos" w:hAnsi="Aptos" w:eastAsia="Aptos"/>
          <w:color w:val="1F2937"/>
          <w:sz w:val="21"/>
        </w:rPr>
        <w:t>Survivable governance accepts sequencing. It also resists unmanaged shortcuts. A staged roadmap may begin with a smaller number of well-owned controls and records if their limitations are explicit. The weaker posture is a broad binder with unclear owners, stale evidence, untested review paths, AI-generated language without source support, or controls that operational teams cannot sustain.</w:t>
      </w:r>
    </w:p>
    <w:p>
      <w:pPr>
        <w:keepNext/>
        <w:spacing w:before="280" w:after="120"/>
      </w:pPr>
      <w:r>
        <w:rPr>
          <w:rFonts w:ascii="Aptos Display" w:hAnsi="Aptos Display" w:eastAsia="Aptos Display"/>
          <w:b/>
          <w:color w:val="17365D"/>
          <w:sz w:val="36"/>
        </w:rPr>
        <w:t>Performative vs Survivable Governance Patterns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Implementation Pattern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Performative Expression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Survivable Expression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Consequence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 completion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Binder sections are finalized before operational adoption is confirmed.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Artifacts are linked to owners, workflows, evidence, and review triggers.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Documentation becomes authority-bearing only after operating context is known.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Large control sets are introduced without capacity or consequence ranking.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Controls are sequenced by exposure, reliance, and operational durability.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 volume does not exceed maintenance capability.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Training completion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Users complete awareness activity without role-specific decision understanding.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Competency is tied to authority boundaries, escalation, and evidence handling.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Human operation remains accountable under pressure.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Confidence posture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External or executive language implies maturity beyond evidence support.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Representations remain bounded to adoption status and evidence freshness.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Institutional trust survives limitation because limitation is visible.</w:t>
            </w:r>
          </w:p>
        </w:tc>
      </w:tr>
    </w:tbl>
    <w:p>
      <w:pPr>
        <w:spacing w:after="80"/>
      </w:pPr>
    </w:p>
    <w:p>
      <w:pPr>
        <w:keepNext/>
        <w:spacing w:before="360" w:after="160"/>
      </w:pPr>
      <w:r>
        <w:rPr>
          <w:rFonts w:ascii="Aptos Display" w:hAnsi="Aptos Display" w:eastAsia="Aptos Display"/>
          <w:b/>
          <w:color w:val="17365D"/>
          <w:sz w:val="54"/>
        </w:rPr>
        <w:t>Foundational Governance Capability Priorities</w:t>
      </w:r>
    </w:p>
    <w:p>
      <w:pPr>
        <w:spacing w:before="0" w:after="160" w:line="259" w:lineRule="auto"/>
      </w:pPr>
      <w:r>
        <w:rPr>
          <w:rFonts w:ascii="Aptos" w:hAnsi="Aptos" w:eastAsia="Aptos"/>
          <w:color w:val="1F2937"/>
          <w:sz w:val="21"/>
        </w:rPr>
        <w:t>The earliest implementation priority is to establish the minimum institutional conditions required for governance to operate without depending on undocumented effort. This does not require every appendix, template, or optional module to be mature immediately. It does require the organization to know what is governed, who owns each authority-bearing artifact, what evidence supports each claim, where escalation occurs, and which workflows carry high consequence.</w:t>
      </w:r>
    </w:p>
    <w:p>
      <w:pPr>
        <w:spacing w:before="0" w:after="160" w:line="259" w:lineRule="auto"/>
      </w:pPr>
      <w:r>
        <w:rPr>
          <w:rFonts w:ascii="Aptos" w:hAnsi="Aptos" w:eastAsia="Aptos"/>
          <w:color w:val="1F2937"/>
          <w:sz w:val="21"/>
        </w:rPr>
        <w:t>Foundational capability should be concentrated where governance failure would be most consequential. High-reliance workflows, restricted information handling, AI-assisted decision support, externally represented confidence, governance-critical vendors, and incident-prone operations should receive earlier structure than low-consequence internal references. This sequencing preserves proportionality and prevents implementation energy from being consumed by artifacts that create little institutional consequence.</w:t>
      </w:r>
    </w:p>
    <w:p>
      <w:pPr>
        <w:keepNext/>
        <w:spacing w:before="280" w:after="120"/>
      </w:pPr>
      <w:r>
        <w:rPr>
          <w:rFonts w:ascii="Aptos Display" w:hAnsi="Aptos Display" w:eastAsia="Aptos Display"/>
          <w:b/>
          <w:color w:val="17365D"/>
          <w:sz w:val="36"/>
        </w:rPr>
        <w:t>Foundational Capability Priorities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Capability</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Early Implementation Requirement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Why It Comes First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If Deferred Too Long</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Ownership registry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Name accountable owners and backups for doctrine, templates, records, and evidence indexes.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Unowned artifacts cannot be maintained or challenged.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Documents age without stewardship.</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scope map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Identify which operational areas are governed and which remain out of scope or provisional.</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Scope clarity prevents false confidence during partial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Readers assume coverage that does not exist.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linkage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Connect priority governance claims to source records, caveats, and freshness conditions.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makes implementation reconstructable.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statements become unsupported assertions.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Escalation route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Define consequence-based routing for exceptions, incidents, stale artifacts, and AI-related concerns.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Partial adoption still requires a way to resolve ambiguity.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teams improvise authority under pressure.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Adoption register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Record implementation stage, active artifacts, open gaps, exceptions, and planned transitions.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Leadership needs visibility into maturity without overstatement.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Implementation status becomes anecdotal.</w:t>
            </w:r>
          </w:p>
        </w:tc>
      </w:tr>
    </w:tbl>
    <w:p>
      <w:pPr>
        <w:spacing w:after="80"/>
      </w:pPr>
    </w:p>
    <w:p>
      <w:pPr>
        <w:keepNext/>
        <w:spacing w:before="360" w:after="160"/>
      </w:pPr>
      <w:r>
        <w:rPr>
          <w:rFonts w:ascii="Aptos Display" w:hAnsi="Aptos Display" w:eastAsia="Aptos Display"/>
          <w:b/>
          <w:color w:val="17365D"/>
          <w:sz w:val="54"/>
        </w:rPr>
        <w:t>Governance Maturity Progression Models</w:t>
      </w:r>
    </w:p>
    <w:p>
      <w:pPr>
        <w:spacing w:before="0" w:after="160" w:line="259" w:lineRule="auto"/>
      </w:pPr>
      <w:r>
        <w:rPr>
          <w:rFonts w:ascii="Aptos" w:hAnsi="Aptos" w:eastAsia="Aptos"/>
          <w:color w:val="1F2937"/>
          <w:sz w:val="21"/>
        </w:rPr>
        <w:t>Maturity progression is not linear in every function. A vendor-governance process may be mature while training remains early-stage. Evidence handling may be strong while escalation discipline is weak. AI-assisted workflow governance may require accelerated attention because operational adoption can move faster than ordinary control development. The roadmap should therefore assess maturity by capability area rather than assigning a single institutional score that conceals asymmetry.</w:t>
      </w:r>
    </w:p>
    <w:p>
      <w:pPr>
        <w:spacing w:before="0" w:after="160" w:line="259" w:lineRule="auto"/>
      </w:pPr>
      <w:r>
        <w:rPr>
          <w:rFonts w:ascii="Aptos" w:hAnsi="Aptos" w:eastAsia="Aptos"/>
          <w:color w:val="1F2937"/>
          <w:sz w:val="21"/>
        </w:rPr>
        <w:t>A mature implementation can identify where maturity is uneven. It can also explain why unevenness is acceptable or unacceptable based on consequence. The implementation roadmap should make these differences visible so that operational gaps are sequenced into future work instead of concealed behind a generalized maturity label.</w:t>
      </w:r>
    </w:p>
    <w:p>
      <w:pPr>
        <w:keepNext/>
        <w:spacing w:before="280" w:after="120"/>
      </w:pPr>
      <w:r>
        <w:rPr>
          <w:rFonts w:ascii="Aptos Display" w:hAnsi="Aptos Display" w:eastAsia="Aptos Display"/>
          <w:b/>
          <w:color w:val="17365D"/>
          <w:sz w:val="36"/>
        </w:rPr>
        <w:t>Governance Maturity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Maturity Dimension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Early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Developing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Sustainable Condition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Artifact stewardship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Documents are collected and formatted.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 and review triggers are assigned.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Artifacts remain current through change, retirement, and supersession.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use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Teams reference governance when prompted.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workflows embed governance steps.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is used during incidents, change, review, and confidence decisions.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discipline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exists in local repositories.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is mapped to claims and controls.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remains fresh, portable, scoped, and reconstructable.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governance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use is recognized as operationally relevant.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High-consequence AI use receives boundaries and review.</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influence is monitored, evidenced, and reassessed as workflows evolve.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Confidence calibration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Confidence language is drafted cautiously.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Representations are linked to current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reliance is monitored and recalibrated after change.</w:t>
            </w:r>
          </w:p>
        </w:tc>
      </w:tr>
    </w:tbl>
    <w:p>
      <w:pPr>
        <w:spacing w:after="80"/>
      </w:pPr>
    </w:p>
    <w:p>
      <w:pPr>
        <w:keepNext/>
        <w:spacing w:before="360" w:after="160"/>
      </w:pPr>
      <w:r>
        <w:rPr>
          <w:rFonts w:ascii="Aptos Display" w:hAnsi="Aptos Display" w:eastAsia="Aptos Display"/>
          <w:b/>
          <w:color w:val="17365D"/>
          <w:sz w:val="54"/>
        </w:rPr>
        <w:t>Operational Sequencing and Proportionality</w:t>
      </w:r>
    </w:p>
    <w:p>
      <w:pPr>
        <w:spacing w:before="0" w:after="160" w:line="259" w:lineRule="auto"/>
      </w:pPr>
      <w:r>
        <w:rPr>
          <w:rFonts w:ascii="Aptos" w:hAnsi="Aptos" w:eastAsia="Aptos"/>
          <w:color w:val="1F2937"/>
          <w:sz w:val="21"/>
        </w:rPr>
        <w:t>Operational sequencing converts doctrine into a practical path. The sequence should begin with areas where lack of governance creates immediate ambiguity, institutional reliance, or evidence weakness. It should then expand to supporting records, training, review cadence, monitoring, vendor classification, confidence maintenance, and optional modules. The sequence should be revisited when operations change rather than treated as a fixed project plan.</w:t>
      </w:r>
    </w:p>
    <w:p>
      <w:pPr>
        <w:spacing w:before="0" w:after="160" w:line="259" w:lineRule="auto"/>
      </w:pPr>
      <w:r>
        <w:rPr>
          <w:rFonts w:ascii="Aptos" w:hAnsi="Aptos" w:eastAsia="Aptos"/>
          <w:color w:val="1F2937"/>
          <w:sz w:val="21"/>
        </w:rPr>
        <w:t>Proportionality protects implementation from overengineering. A low-consequence internal reference may require ownership and review discipline without intensive evidence packages. A high-consequence AI-assisted decision workflow may require stronger segmentation, human review, evidence preservation, escalation triggers, and confidence boundaries. Governance adoption matures by matching intensity to consequence rather than applying one uniform burden everywhere.</w:t>
      </w:r>
    </w:p>
    <w:p>
      <w:pPr>
        <w:keepNext/>
        <w:spacing w:before="280" w:after="120"/>
      </w:pPr>
      <w:r>
        <w:rPr>
          <w:rFonts w:ascii="Aptos Display" w:hAnsi="Aptos Display" w:eastAsia="Aptos Display"/>
          <w:b/>
          <w:color w:val="17365D"/>
          <w:sz w:val="36"/>
        </w:rPr>
        <w:t>Operational Sequencing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Sequence Layer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Implementation Focus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Operational Test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Sequencing Error</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Scope and ownership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Define governed areas, artifact owners, and active version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Can personnel identify what applies and who maintains it?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Templates are distributed before authority is clear.</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Apply controls to high-consequence workflows first.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Can the workflow produce evidence and escalation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Low-risk documentation consumes capacity ahead of material exposure.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and evidence linkage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Connect records, dashboards, attestations, and proof structures.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Can claims be reconstructed from source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becomes calendar activity without substantiation.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Maintenance integration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Add change triggers, retirement logic, and refresh cadence.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Does governance update after operational change?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Artifacts remain approved after reality changes.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Confidence and external reliance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Bound executive, customer, partner, or public trust signals.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 representations match current maturity and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language outruns implementation state.</w:t>
            </w:r>
          </w:p>
        </w:tc>
      </w:tr>
    </w:tbl>
    <w:p>
      <w:pPr>
        <w:spacing w:after="80"/>
      </w:pPr>
    </w:p>
    <w:p>
      <w:pPr>
        <w:keepNext/>
        <w:spacing w:before="280" w:after="120"/>
      </w:pPr>
      <w:r>
        <w:rPr>
          <w:rFonts w:ascii="Aptos Display" w:hAnsi="Aptos Display" w:eastAsia="Aptos Display"/>
          <w:b/>
          <w:color w:val="17365D"/>
          <w:sz w:val="36"/>
        </w:rPr>
        <w:t>Governance Scaling Conditions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Scaling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Scaling Response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Reason for Increased Intensity</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Risk of Under-Scaling</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reliance increases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representation review, evidence freshness checks, and reliance owner.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Audience consequence expands beyond internal operation.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Customers or partners infer unsupported confidence.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consequence rises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Increase review authority, escalation thresholds, and evidence preservation.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failure would affect institutional trust or continuity.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Routine handling masks material exposure.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 assistance expands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Define boundaries, source review, output retention, and influence monitoring.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Automation changes visibility, prioritization, and decision context.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AI-generated coherence becomes informal governance.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Vendor dependency deepens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Move provider into higher tier with continuity and evidence expectations.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External service becomes operational or governance infrastructure.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Dependency criticality is discovered during disruption.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Turnover or redesign occurs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Refresh owner maps, training, artifact status, and handoff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Institutional memory is vulnerable during transition.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depends on people who have left or roles that changed.</w:t>
            </w:r>
          </w:p>
        </w:tc>
      </w:tr>
    </w:tbl>
    <w:p>
      <w:pPr>
        <w:spacing w:after="80"/>
      </w:pPr>
    </w:p>
    <w:p>
      <w:pPr>
        <w:keepNext/>
        <w:spacing w:before="360" w:after="160"/>
      </w:pPr>
      <w:r>
        <w:rPr>
          <w:rFonts w:ascii="Aptos Display" w:hAnsi="Aptos Display" w:eastAsia="Aptos Display"/>
          <w:b/>
          <w:color w:val="17365D"/>
          <w:sz w:val="54"/>
        </w:rPr>
        <w:t>AI-Era Governance Acceleration Pressures</w:t>
      </w:r>
    </w:p>
    <w:p>
      <w:pPr>
        <w:spacing w:before="0" w:after="160" w:line="259" w:lineRule="auto"/>
      </w:pPr>
      <w:r>
        <w:rPr>
          <w:rFonts w:ascii="Aptos" w:hAnsi="Aptos" w:eastAsia="Aptos"/>
          <w:color w:val="1F2937"/>
          <w:sz w:val="21"/>
        </w:rPr>
        <w:t>AI-assisted operations can compress the time between experimentation and institutional dependency. Drafting, summarization, routing, queue prioritization, decision support, vendor analysis, incident narrative creation, and confidence language can all become AI-influenced before governance artifacts are updated. The adoption roadmap should therefore include explicit checkpoints for AI-assisted workflow expansion, even when the underlying governance program is still developing.</w:t>
      </w:r>
    </w:p>
    <w:p>
      <w:pPr>
        <w:spacing w:before="0" w:after="160" w:line="259" w:lineRule="auto"/>
      </w:pPr>
      <w:r>
        <w:rPr>
          <w:rFonts w:ascii="Aptos" w:hAnsi="Aptos" w:eastAsia="Aptos"/>
          <w:color w:val="1F2937"/>
          <w:sz w:val="21"/>
        </w:rPr>
        <w:t>AI acceleration does not require immediate maximum control everywhere. It does require early visibility into where AI changes information exposure, workflow routing, evidence interpretation, decision confidence, or external representation. Staged governance remains appropriate, but AI-related adoption should be consequence-aware and event-driven because quiet automation dependency can develop faster than ordinary documentation cycles.</w:t>
      </w:r>
    </w:p>
    <w:p>
      <w:pPr>
        <w:keepNext/>
        <w:spacing w:before="280" w:after="120"/>
      </w:pPr>
      <w:r>
        <w:rPr>
          <w:rFonts w:ascii="Aptos Display" w:hAnsi="Aptos Display" w:eastAsia="Aptos Display"/>
          <w:b/>
          <w:color w:val="17365D"/>
          <w:sz w:val="36"/>
        </w:rPr>
        <w:t>AI-Era Governance Pressure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Indicator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Observed Operating Pattern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Roadmap Adjustment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If Ignored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AI-generated artifacts enter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Summaries, narratives, or forms are retained as governance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provenance, reviewer, caveat, and reuse controls.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Derived language becomes detached from source evidence.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AI-assisted routing affects work</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Queues, triage, or prioritization are influenced by generated classification.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Review thresholds and monitoring need AI-influence visibility.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significance may be suppressed or inflated.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AI-enabled vendor tools expand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Provider features begin shaping analysis, confidence, or decisions.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Reclassify vendor dependency and confirm accountability boundaries.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logic becomes hidden governance infrastructure.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Generated executive narratives circulate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Leadership receives synthesized posture statements or risk summaries.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 source linkage and confidence boundaries.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Coherent language creates unsupported certainty.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Teams use broad context prompts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Operational convenience leads to large cross-workflow data aggregation.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Strengthen segmentation and exposure minimization.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Information boundaries erode before controls respond.</w:t>
            </w:r>
          </w:p>
        </w:tc>
      </w:tr>
    </w:tbl>
    <w:p>
      <w:pPr>
        <w:spacing w:after="80"/>
      </w:pPr>
    </w:p>
    <w:p>
      <w:pPr>
        <w:keepNext/>
        <w:spacing w:before="360" w:after="160"/>
      </w:pPr>
      <w:r>
        <w:rPr>
          <w:rFonts w:ascii="Aptos Display" w:hAnsi="Aptos Display" w:eastAsia="Aptos Display"/>
          <w:b/>
          <w:color w:val="17365D"/>
          <w:sz w:val="54"/>
        </w:rPr>
        <w:t>Sustainable Governance Pacing and Overengineering Risk</w:t>
      </w:r>
    </w:p>
    <w:p>
      <w:pPr>
        <w:spacing w:before="0" w:after="160" w:line="259" w:lineRule="auto"/>
      </w:pPr>
      <w:r>
        <w:rPr>
          <w:rFonts w:ascii="Aptos" w:hAnsi="Aptos" w:eastAsia="Aptos"/>
          <w:color w:val="1F2937"/>
          <w:sz w:val="21"/>
        </w:rPr>
        <w:t>Sustainable pacing recognizes that governance must be maintained by real operators. Overbuilt governance often fails because it produces more records, reviews, and approvals than the institution can maintain with quality. The practical roadmap should prioritize fewer, stronger, evidence-linked practices over broad procedural density that cannot survive daily operations.</w:t>
      </w:r>
    </w:p>
    <w:p>
      <w:pPr>
        <w:spacing w:before="0" w:after="160" w:line="259" w:lineRule="auto"/>
      </w:pPr>
      <w:r>
        <w:rPr>
          <w:rFonts w:ascii="Aptos" w:hAnsi="Aptos" w:eastAsia="Aptos"/>
          <w:color w:val="1F2937"/>
          <w:sz w:val="21"/>
        </w:rPr>
        <w:t>Underbuilding also creates risk. Minimal governance becomes fragile when workflows are externally relied upon, AI-assisted, vendor-mediated, high consequence, or evidence-dependent. Sustainable pacing therefore requires periodic recalibration: increase governance intensity when consequence rises, reduce unused bureaucracy when controls create bypass behavior, and retire artifacts that no longer support operational reality.</w:t>
      </w:r>
    </w:p>
    <w:p>
      <w:pPr>
        <w:keepNext/>
        <w:spacing w:before="280" w:after="120"/>
      </w:pPr>
      <w:r>
        <w:rPr>
          <w:rFonts w:ascii="Aptos Display" w:hAnsi="Aptos Display" w:eastAsia="Aptos Display"/>
          <w:b/>
          <w:color w:val="17365D"/>
          <w:sz w:val="36"/>
        </w:rPr>
        <w:t>Overengineering Risk Patterns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Risk Pattern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How It Appears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Operational Effect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Corrective Treatment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Control saturation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Too many approvals, logs, and attestations are introduced at once.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Teams bypass governance or complete records mechanically.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Reduce to consequence-bearing controls and phase expansion.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Template proliferation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Multiple similar forms circulate without clear use conditions.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Records become inconsistent and difficult to reconstruct.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Consolidate templates and define active version ownership.</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overload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Committees receive more items than they can meaningfully challenge.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becomes awareness instead of decision.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Route by threshold and preserve authority for material items.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overcollection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Large evidence packages are retained without scope or lineage.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Volume masks sufficiency gaps and increases exposure.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Map evidence to claim, scope, and freshness need.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 documentation polish</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Generated language makes incomplete adoption look mature.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Implementation gaps are concealed by coherent prose.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Require source-grounding and adoption-status markers.</w:t>
            </w:r>
          </w:p>
        </w:tc>
      </w:tr>
    </w:tbl>
    <w:p>
      <w:pPr>
        <w:spacing w:after="80"/>
      </w:pPr>
    </w:p>
    <w:p>
      <w:pPr>
        <w:keepNext/>
        <w:spacing w:before="280" w:after="120"/>
      </w:pPr>
      <w:r>
        <w:rPr>
          <w:rFonts w:ascii="Aptos Display" w:hAnsi="Aptos Display" w:eastAsia="Aptos Display"/>
          <w:b/>
          <w:color w:val="17365D"/>
          <w:sz w:val="36"/>
        </w:rPr>
        <w:t>Sustainable Governance Pacing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Pacing Model</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Appropriate Use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Benefit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Boundary Condition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Minimum viable governance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Early adoption where ownership, scope, evidence, and escalation must be established quickly.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Creates controlled starting point without false completeness.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Must not be represented as mature governance.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Consequence-first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High-risk workflows, restricted data, AI influence, and external reliance require earlier attention.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Targets institutional exposure before low-value administrative density.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Requires visible rationale for deferred areas.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Maintenance-paced scaling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New controls are added only when ownership and review capacity exist.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Prevents overextension and control fatigue.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Can become slow if reassessment triggers are ignored.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Event-driven acceleration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Incidents, vendor shifts, AI expansion, or customer reliance trigger faster maturation.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Keeps governance aligned with operational change.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Requires escalation discipline and executive awareness.</w:t>
            </w:r>
          </w:p>
        </w:tc>
      </w:tr>
    </w:tbl>
    <w:p>
      <w:pPr>
        <w:spacing w:after="80"/>
      </w:pPr>
    </w:p>
    <w:p>
      <w:pPr>
        <w:keepNext/>
        <w:spacing w:before="360" w:after="160"/>
      </w:pPr>
      <w:r>
        <w:rPr>
          <w:rFonts w:ascii="Aptos Display" w:hAnsi="Aptos Display" w:eastAsia="Aptos Display"/>
          <w:b/>
          <w:color w:val="17365D"/>
          <w:sz w:val="54"/>
        </w:rPr>
        <w:t>Institutional Readiness and Adoption Indicators</w:t>
      </w:r>
    </w:p>
    <w:p>
      <w:pPr>
        <w:spacing w:before="0" w:after="160" w:line="259" w:lineRule="auto"/>
      </w:pPr>
      <w:r>
        <w:rPr>
          <w:rFonts w:ascii="Aptos" w:hAnsi="Aptos" w:eastAsia="Aptos"/>
          <w:color w:val="1F2937"/>
          <w:sz w:val="21"/>
        </w:rPr>
        <w:t>Readiness is demonstrated by operational ability, not stated intent. An institution is ready to expand governance when owners can maintain current artifacts, evidence can support claims, users understand applicable boundaries, review forums can challenge weak implementation, and leadership can distinguish planned maturity from actual operating state. Expansion before readiness creates documentation debt.</w:t>
      </w:r>
    </w:p>
    <w:p>
      <w:pPr>
        <w:spacing w:before="0" w:after="160" w:line="259" w:lineRule="auto"/>
      </w:pPr>
      <w:r>
        <w:rPr>
          <w:rFonts w:ascii="Aptos" w:hAnsi="Aptos" w:eastAsia="Aptos"/>
          <w:color w:val="1F2937"/>
          <w:sz w:val="21"/>
        </w:rPr>
        <w:t>Adoption indicators should be practical. The organization should know whether governed workflows are using the framework, whether exceptions are tracked, whether AI-assisted artifacts are source-linked, whether stale records are retired, and whether external representations remain bounded. These indicators provide a grounded implementation picture without reducing maturity to a superficial score.</w:t>
      </w:r>
    </w:p>
    <w:p>
      <w:pPr>
        <w:keepNext/>
        <w:spacing w:before="280" w:after="120"/>
      </w:pPr>
      <w:r>
        <w:rPr>
          <w:rFonts w:ascii="Aptos Display" w:hAnsi="Aptos Display" w:eastAsia="Aptos Display"/>
          <w:b/>
          <w:color w:val="17365D"/>
          <w:sz w:val="36"/>
        </w:rPr>
        <w:t>Institutional Readiness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Readiness Indicator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Operational Evidence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What It Demonstrates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Weak Signal</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 capacity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Named stewards maintain artifacts and open actions.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has accountable administration.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Ownership exists only in a static chart.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usability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Claims can be traced to source records with scope and freshness.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is defensible and reconstructable.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Files exist but cannot explain posture.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User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Priority workflow teams use current templates and escalation routes.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has entered operation.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Users know the binder exists but do not rely on it.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Exception visibility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Deferred controls, temporary processes, and open gaps are registered.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Partial maturity is bounded and honest.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Unfinished work is discussed informally.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consequence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Reviews produce decisions, changes, retirement, escalation, or qualified confidence.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Oversight has authority and operational effect.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confirms completion without challenge.</w:t>
            </w:r>
          </w:p>
        </w:tc>
      </w:tr>
    </w:tbl>
    <w:p>
      <w:pPr>
        <w:spacing w:after="80"/>
      </w:pPr>
    </w:p>
    <w:p>
      <w:pPr>
        <w:keepNext/>
        <w:spacing w:before="280" w:after="120"/>
      </w:pPr>
      <w:r>
        <w:rPr>
          <w:rFonts w:ascii="Aptos Display" w:hAnsi="Aptos Display" w:eastAsia="Aptos Display"/>
          <w:b/>
          <w:color w:val="17365D"/>
          <w:sz w:val="36"/>
        </w:rPr>
        <w:t>Governance Maturity Reassessment Triggers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Trigger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Reassessment Focus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Likely Roadmap Change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If Not Reassessed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New externally relied-upon representation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Confidence boundary, evidence support, audience, and refresh duty.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Advance evidence and review maturity for affected statements.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Trust signal expands beyond support.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migration or redesign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Scope, owner, control fit, evidence location, and training impact.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Refresh artifacts and adoption records before full transition.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Old governance continues governing a process that moved.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 capability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Output use, decision influence, data exposure, and reviewer role.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AI-specific boundaries and monitoring earlier than planned.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Automation changes governance silently.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Incident or containment failure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Reconstruction, escalation, evidence preservation, and artifact adequacy.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Prioritize remediation records and control redesign.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Recovery restores service but not governance integrity.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Turnover in key owner roles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Institutional memory, active artifacts, open exceptions, and handoff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Accelerate stewardship and training refresh.</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knowledge leaves with personnel.</w:t>
            </w:r>
          </w:p>
        </w:tc>
      </w:tr>
    </w:tbl>
    <w:p>
      <w:pPr>
        <w:spacing w:after="80"/>
      </w:pPr>
    </w:p>
    <w:p>
      <w:pPr>
        <w:keepNext/>
        <w:spacing w:before="360" w:after="160"/>
      </w:pPr>
      <w:r>
        <w:rPr>
          <w:rFonts w:ascii="Aptos Display" w:hAnsi="Aptos Display" w:eastAsia="Aptos Display"/>
          <w:b/>
          <w:color w:val="17365D"/>
          <w:sz w:val="54"/>
        </w:rPr>
        <w:t>Long-Horizon Governance Development</w:t>
      </w:r>
    </w:p>
    <w:p>
      <w:pPr>
        <w:spacing w:before="0" w:after="160" w:line="259" w:lineRule="auto"/>
      </w:pPr>
      <w:r>
        <w:rPr>
          <w:rFonts w:ascii="Aptos" w:hAnsi="Aptos" w:eastAsia="Aptos"/>
          <w:color w:val="1F2937"/>
          <w:sz w:val="21"/>
        </w:rPr>
        <w:t>Long-horizon development treats governance as an institutional capability that matures through use, review, correction, and adaptation. The roadmap should preserve institutional memory while allowing controlled evolution. It should be strong enough to prevent drift and modest enough to remain maintainable. Governance becomes sustainable when operators can use it without extraordinary effort and reviewers can challenge it without reconstructing the institution from scratch.</w:t>
      </w:r>
    </w:p>
    <w:p>
      <w:pPr>
        <w:spacing w:before="0" w:after="160" w:line="259" w:lineRule="auto"/>
      </w:pPr>
      <w:r>
        <w:rPr>
          <w:rFonts w:ascii="Aptos" w:hAnsi="Aptos" w:eastAsia="Aptos"/>
          <w:color w:val="1F2937"/>
          <w:sz w:val="21"/>
        </w:rPr>
        <w:t>The long-horizon objective is not to preserve a fixed binder indefinitely. The objective is to preserve governance legitimacy while operations evolve. Appendices, forms, templates, attestations, implementation records, and optional modules should therefore be introduced as operational instruments, not as decorative completeness. Each added artifact should have a purpose, owner, evidence relationship, maintenance trigger, and retirement path.</w:t>
      </w:r>
    </w:p>
    <w:p>
      <w:pPr>
        <w:keepNext/>
        <w:spacing w:before="280" w:after="120"/>
      </w:pPr>
      <w:r>
        <w:rPr>
          <w:rFonts w:ascii="Aptos Display" w:hAnsi="Aptos Display" w:eastAsia="Aptos Display"/>
          <w:b/>
          <w:color w:val="17365D"/>
          <w:sz w:val="36"/>
        </w:rPr>
        <w:t>Long-Horizon Governance Development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Development Model</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Institutional Use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Sustainability Requirement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Regression Pattern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Capability layering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controls, records, training, monitoring, and confidence in coordinated layers.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Each layer must connect to ownership and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New artifacts accumulate without integration.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refresh cycle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Revisit adoption status after operational events and periodic review.</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must reflect reality, not only planned milestones.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Implementation plan remains unchanged after change.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Stewardship continuity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Preserve owner handoffs, version status, evidence indexes, and open items.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knowledge must survive turnover.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Maturity depends on undocumented memory.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Controlled optional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Introduce modules when consequence, reliance, or workflow maturity justifies them.</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Optional materials require the same status discipline as core artifacts.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Optional templates become informal requirements.</w:t>
            </w:r>
          </w:p>
        </w:tc>
      </w:tr>
    </w:tbl>
    <w:p>
      <w:pPr>
        <w:spacing w:after="80"/>
      </w:pPr>
    </w:p>
    <w:p>
      <w:pPr>
        <w:keepNext/>
        <w:spacing w:before="280" w:after="120"/>
      </w:pPr>
      <w:r>
        <w:rPr>
          <w:rFonts w:ascii="Aptos Display" w:hAnsi="Aptos Display" w:eastAsia="Aptos Display"/>
          <w:b/>
          <w:color w:val="17365D"/>
          <w:sz w:val="36"/>
        </w:rPr>
        <w:t>Practical Implementation Roadmap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Roadmap Element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Minimum Record</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Use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Common Failure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Adoption register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Stage, scope, owner, active artifacts, deferred items, and next review.</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Separates planned implementation from operational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Leadership assumes adoption because documents were delivered.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 map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High-consequence workflows, AI use, vendors, evidence needs, and confidence linkage.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Directs implementation energy to material exposure.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treats all workflows as equal.</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Gap and exception log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Open gaps, rationale, owner, target treatment, and reliance limitation.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Keeps incomplete maturity visible.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Deferred work becomes permanent silence.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Artifact status index</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Active, draft, qualified, superseded, archived, retired, and optional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Prevents uncontrolled document use.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Old materials continue circulating.</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Reassessment calendar and event triggers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Scheduled reviews plus incident, vendor, AI, turnover, and confidence triggers.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Combines cadence with reality-driven maintenance.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happens by date but not by consequence.</w:t>
            </w:r>
          </w:p>
        </w:tc>
      </w:tr>
    </w:tbl>
    <w:p>
      <w:pPr>
        <w:spacing w:after="80"/>
      </w:pPr>
    </w:p>
    <w:p>
      <w:pPr>
        <w:keepNext/>
        <w:spacing w:before="280" w:after="120"/>
      </w:pPr>
      <w:r>
        <w:rPr>
          <w:rFonts w:ascii="Aptos Display" w:hAnsi="Aptos Display" w:eastAsia="Aptos Display"/>
          <w:b/>
          <w:color w:val="17365D"/>
          <w:sz w:val="36"/>
        </w:rPr>
        <w:t>Governance Sustainability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Indicator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Sustainable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Unsustainable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Roadmap Implication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Operational coherence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Controls, evidence, training, confidence, and artifacts reference the same workflow reality.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Each function maintains its own version of governance.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Prioritize integration before adding new materials.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Maintenance burden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Review effort is proportionate and owner capacity is realistic.</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Records accumulate faster than they can be reviewed.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Retire or simplify low-value artifacts.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Accountability clarity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 approvers, reviewers, and escalation authorities are distinguishable.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Participation is mistaken for ownership.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Refresh authority mapping before expansion.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sufficiency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Proof is scoped, fresh, source-linked, and tied to claims.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volume is high but confidence is unclear.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Improve evidence linkage before broader confidence.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Adoption honesty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Maturity gaps are visible and bounded.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Partial implementation is represented as complete.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Qualify statements and update roadmap priorities.</w:t>
            </w:r>
          </w:p>
        </w:tc>
      </w:tr>
    </w:tbl>
    <w:p>
      <w:pPr>
        <w:spacing w:after="80"/>
      </w:pPr>
    </w:p>
    <w:p>
      <w:pPr>
        <w:keepNext/>
        <w:spacing w:before="360" w:after="160"/>
      </w:pPr>
      <w:r>
        <w:rPr>
          <w:rFonts w:ascii="Aptos Display" w:hAnsi="Aptos Display" w:eastAsia="Aptos Display"/>
          <w:b/>
          <w:color w:val="17365D"/>
          <w:sz w:val="54"/>
        </w:rPr>
        <w:t>Section III Concluding Synthesis</w:t>
      </w:r>
    </w:p>
    <w:p>
      <w:pPr>
        <w:spacing w:before="0" w:after="160" w:line="259" w:lineRule="auto"/>
      </w:pPr>
      <w:r>
        <w:rPr>
          <w:rFonts w:ascii="Aptos" w:hAnsi="Aptos" w:eastAsia="Aptos"/>
          <w:color w:val="1F2937"/>
          <w:sz w:val="21"/>
        </w:rPr>
        <w:t>Section III establishes that governance implementation is a sustained operational discipline. Safeguards require monitoring. Monitoring requires evidence. Evidence requires stewardship. Training requires current materials. Incidents require reconstruction. Integration requires coherent artifacts. Operationalization requires documents that remain connected to real workflows. Adoption and maturity progression complete this doctrine by defining how these capabilities are built in a survivable sequence.</w:t>
      </w:r>
    </w:p>
    <w:p>
      <w:pPr>
        <w:spacing w:before="0" w:after="160" w:line="259" w:lineRule="auto"/>
      </w:pPr>
      <w:r>
        <w:rPr>
          <w:rFonts w:ascii="Aptos" w:hAnsi="Aptos" w:eastAsia="Aptos"/>
          <w:color w:val="1F2937"/>
          <w:sz w:val="21"/>
        </w:rPr>
        <w:t>The implementation roadmap should therefore remain practical, honest, and consequence-aware. It should not reward broad paper maturity at the expense of operational coherence. It should not defer high-consequence AI-assisted, vendor-mediated, evidence-dependent, externally relied-upon, or restricted workflows merely because easier artifacts can be completed first. It should mature governance where institutional consequence is greatest while preserving usability for the personnel who must operate the framework.</w:t>
      </w:r>
    </w:p>
    <w:p>
      <w:pPr>
        <w:keepNext/>
        <w:spacing w:before="360" w:after="160"/>
      </w:pPr>
      <w:r>
        <w:rPr>
          <w:rFonts w:ascii="Aptos Display" w:hAnsi="Aptos Display" w:eastAsia="Aptos Display"/>
          <w:b/>
          <w:color w:val="17365D"/>
          <w:sz w:val="54"/>
        </w:rPr>
        <w:t>Governance Adoption and Implementation Roadmap Operating Standard</w:t>
      </w:r>
    </w:p>
    <w:p>
      <w:pPr>
        <w:spacing w:before="0" w:after="160" w:line="259" w:lineRule="auto"/>
      </w:pPr>
      <w:r>
        <w:rPr>
          <w:rFonts w:ascii="Aptos" w:hAnsi="Aptos" w:eastAsia="Aptos"/>
          <w:color w:val="1F2937"/>
          <w:sz w:val="21"/>
        </w:rPr>
        <w:t>Governance adoption under this framework shall be implemented through staged, evidence-linked, consequence-scaled progression. Organizations implementing this framework shall distinguish planned maturity from operational maturity, document adoption status honestly, identify deferred capabilities, and preserve clear ownership for each authority-bearing artifact, implementation record, template, attestation, evidence index, and optional module.</w:t>
      </w:r>
    </w:p>
    <w:p>
      <w:pPr>
        <w:spacing w:before="0" w:after="160" w:line="259" w:lineRule="auto"/>
      </w:pPr>
      <w:r>
        <w:rPr>
          <w:rFonts w:ascii="Aptos" w:hAnsi="Aptos" w:eastAsia="Aptos"/>
          <w:color w:val="1F2937"/>
          <w:sz w:val="21"/>
        </w:rPr>
        <w:t>Implementation sequencing shall prioritize survivability over performative completeness. High-consequence workflows, externally relied-upon representations, AI-assisted decision or documentation processes, governance-critical vendors, restricted information handling, incident-prone workflows, and evidence-dependent confidence statements shall receive earlier governance structure than low-consequence administrative materials. Expansion shall be paced according to owner capacity, evidence quality, review authority, and operational usability.</w:t>
      </w:r>
    </w:p>
    <w:p>
      <w:pPr>
        <w:spacing w:before="0" w:after="160" w:line="259" w:lineRule="auto"/>
      </w:pPr>
      <w:r>
        <w:rPr>
          <w:rFonts w:ascii="Aptos" w:hAnsi="Aptos" w:eastAsia="Aptos"/>
          <w:color w:val="1F2937"/>
          <w:sz w:val="21"/>
        </w:rPr>
        <w:t>Governance maturity shall be reassessed when operations change. Workflow migration, AI capability expansion, vendor dependency growth, turnover, incident response, evidence degradation, confidence expansion, customer reliance, or recurring exceptions shall trigger roadmap review. Adoption records shall remain current enough to explain what governance is active, what remains provisional, what has been superseded, and what limitations apply.</w:t>
      </w:r>
    </w:p>
    <w:p>
      <w:pPr>
        <w:spacing w:before="0" w:after="160" w:line="259" w:lineRule="auto"/>
      </w:pPr>
      <w:r>
        <w:rPr>
          <w:rFonts w:ascii="Aptos" w:hAnsi="Aptos" w:eastAsia="Aptos"/>
          <w:color w:val="1F2937"/>
          <w:sz w:val="21"/>
        </w:rPr>
        <w:t>The final operating principle for Section III is sustainable operationalization. Governance becomes institutionally mature when it can be used, explained, challenged, maintained, and adapted without losing accountability, evidence sufficiency, operational coherence, or bounded confidence. The roadmap therefore closes the implementation doctrine by treating maturity not as a completed document set, but as the durable institutional ability to govern real operations over time.</w:t>
      </w:r>
    </w:p>
    <w:sectPr w:rsidR="00FC693F" w:rsidRPr="0006063C" w:rsidSect="00034616">
      <w:footerReference w:type="default" r:id="rId9"/>
      <w:pgSz w:w="12240" w:h="15840"/>
      <w:pgMar w:top="979" w:right="1037" w:bottom="893" w:left="103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17365D"/>
        <w:sz w:val="17"/>
      </w:rPr>
      <w:t>Paladin Compliance Governance Binder | Section 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