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eastAsia="Aptos"/>
          <w:b/>
          <w:color w:val="17365D"/>
          <w:sz w:val="40"/>
        </w:rPr>
        <w:t>2.15 Governance Containment, Exposure Minimization, and Operational Boundary Preservation</w:t>
      </w:r>
    </w:p>
    <w:p>
      <w:pPr>
        <w:spacing w:after="440"/>
      </w:pPr>
      <w:r>
        <w:rPr>
          <w:rFonts w:ascii="Aptos" w:hAnsi="Aptos" w:eastAsia="Aptos"/>
          <w:b/>
          <w:color w:val="53657D"/>
          <w:sz w:val="17"/>
        </w:rPr>
        <w:t>Paladin Compliance Governance Binder | Section II</w:t>
      </w:r>
    </w:p>
    <w:p>
      <w:pPr>
        <w:spacing w:after="120" w:line="254" w:lineRule="auto"/>
      </w:pPr>
      <w:r>
        <w:rPr>
          <w:rFonts w:ascii="Aptos" w:hAnsi="Aptos" w:eastAsia="Aptos"/>
          <w:b w:val="0"/>
          <w:color w:val="1F2937"/>
          <w:sz w:val="20"/>
        </w:rPr>
        <w:t>This section establishes the operational containment doctrine for Section II. It integrates exposure handling, confidentiality governance, propagation control, workflow segmentation, vendor dependency awareness, restricted automation, consequence-aware treatment, and operational boundary preservation into a unified governance treatment model. Containment is not a purely technical isolation concept. It is the governance discipline of keeping operational exposure within boundaries that remain explainable, proportionate, accountable, and survivable under real operating conditions.</w:t>
      </w:r>
    </w:p>
    <w:p>
      <w:pPr>
        <w:spacing w:after="120" w:line="254" w:lineRule="auto"/>
      </w:pPr>
      <w:r>
        <w:rPr>
          <w:rFonts w:ascii="Aptos" w:hAnsi="Aptos" w:eastAsia="Aptos"/>
          <w:b w:val="0"/>
          <w:color w:val="1F2937"/>
          <w:sz w:val="20"/>
        </w:rPr>
        <w:t>Governance containment matters because institutional exposure often expands through convenience before it becomes visible through formal failure. Information is copied to accelerate work; dashboards are reused to simplify reporting; AI systems receive broad context to improve output; vendors become routing infrastructure; operational teams share complete background to avoid rework. Each behavior may be rational locally while collectively weakening confidentiality, evidence integrity, decision attribution, dependency visibility, and institutional trust.</w:t>
      </w:r>
    </w:p>
    <w:p>
      <w:pPr>
        <w:spacing w:after="120" w:line="254" w:lineRule="auto"/>
      </w:pPr>
      <w:r>
        <w:rPr>
          <w:rFonts w:ascii="Aptos" w:hAnsi="Aptos" w:eastAsia="Aptos"/>
          <w:b w:val="0"/>
          <w:color w:val="1F2937"/>
          <w:sz w:val="20"/>
        </w:rPr>
        <w:t>Operational boundary preservation requires deliberate restraint. The framework does not assume that maximum visibility produces better governance. Unrestricted visibility can dilute accountability, normalize sensitive context, create false confidence, and make reconstruction more difficult because no single role can explain why information moved, who relied on it, or what treatment boundary applied. Survivable governance requires bounded workflows, minimum necessary context, propagation discipline, and consequence-scaled containment that remains practical enough to operate.</w:t>
      </w:r>
    </w:p>
    <w:p>
      <w:pPr>
        <w:keepNext w:val="1"/>
        <w:spacing w:before="160" w:after="80"/>
      </w:pPr>
      <w:r>
        <w:rPr>
          <w:rFonts w:ascii="Aptos" w:hAnsi="Aptos" w:eastAsia="Aptos"/>
          <w:b/>
          <w:color w:val="17365D"/>
          <w:sz w:val="22"/>
        </w:rPr>
        <w:t>Governance Containment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Model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Purpose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containment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information, evidence, and decisions inside the process boundary that justifies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Cross-workflow copying can change sensitivity and accountability.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workflow owner, permitted context, and boundary for reuse.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visibility to roles that can act on or govern the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awareness may be mistaken for authority or acceptance.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 approved audience and prohibit onward distribution without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containment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source, lineage, scope, and transformation record for artifacts used in governance.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Extracts and screenshots may outlive source meaning.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Attach provenance, date, population, and permitted evidence 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Bounds provider access, processing, retention, and downstream visibility.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tools can become hidden governance infrastructure.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provider role, disclosed context, export path, and continuity limit.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AI-output containment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Controls generated summaries, classifications, scores, recommendations, and narratives.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artifacts may travel farther than source records.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AI-mediated status, preserve source trace, and restrict reuse.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Separates internal operating knowledge from external trust signaling.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can become unsupported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representation authority and evidence freshness review.</w:t>
            </w:r>
          </w:p>
        </w:tc>
      </w:tr>
    </w:tbl>
    <w:p>
      <w:pPr>
        <w:spacing w:after="40"/>
      </w:pPr>
    </w:p>
    <w:p>
      <w:pPr>
        <w:keepNext w:val="1"/>
        <w:spacing w:before="160" w:after="80"/>
      </w:pPr>
      <w:r>
        <w:rPr>
          <w:rFonts w:ascii="Aptos" w:hAnsi="Aptos" w:eastAsia="Aptos"/>
          <w:b/>
          <w:color w:val="17365D"/>
          <w:sz w:val="22"/>
        </w:rPr>
        <w:t>Operational Boundary Classifications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 Class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What It Protects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 Stressor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Process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Task sequence, handoff, ownership, and local operating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bypass slow process through side channels.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practiced workflow and define permissible alternate route.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Confidentiality, sensitivity, source context, and distribution purpose.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artifacts lose original handling instructions.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Carry classification, source, scope, and use limitation forward.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Accountable authority, rationale, review, and residual exposure ownership.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Recommendations or consensus blur who decided.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decision owner, adoption record, and escalation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Lineage, completeness, population, freshness, and reviewability.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or export becomes evidence without validation.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evidence steward review before reliance.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accountability and controlled use of AI or workflow automation.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routing changes treatment without governance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permitted automation, override path, and review trigger.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Reliance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interpretation, representation use, and institutional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metrics become customer or executive confidence signals.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Qualify audience, statement, and evidence support.</w:t>
            </w:r>
          </w:p>
        </w:tc>
      </w:tr>
    </w:tbl>
    <w:p>
      <w:pPr>
        <w:spacing w:after="40"/>
      </w:pPr>
    </w:p>
    <w:p>
      <w:pPr>
        <w:keepNext w:val="1"/>
        <w:spacing w:before="160" w:after="80"/>
      </w:pPr>
      <w:r>
        <w:rPr>
          <w:rFonts w:ascii="Aptos" w:hAnsi="Aptos" w:eastAsia="Aptos"/>
          <w:b/>
          <w:color w:val="17365D"/>
          <w:sz w:val="22"/>
        </w:rPr>
        <w:t>Exposure Minimization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Minimization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Use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Exposure Reduced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If Absent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Minimum necessary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Provides only the information needed for the task, review, or decision.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unnecessary propagation of sensitive facts.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share complete background because it is faster.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Purpose-limited access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Connects information visibility to defined workflow or governance function.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reuse beyond the reason access was granted.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Data collected for remediation becomes broad reporting material.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Segmented workflow views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Separates operational, governance, executive, vendor, and external audiences.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audience inference and role confusion.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One dashboard becomes universal source for all contexts.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Source-linked summaries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Allows summarized communication without severing provenance.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compressed narrative from replacing source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becomes portable authority without caveats.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Controlled artifact duplication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Creates copies only where reconstruction or workflow operation requires them.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orphaned records and stale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Screenshots and exports persist after source changes.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Time-bound restricted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Revalidates sensitive information after purpose, event, or condition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stale restriction or stale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limitation circulates without current meaning.</w:t>
            </w:r>
          </w:p>
        </w:tc>
      </w:tr>
    </w:tbl>
    <w:p>
      <w:pPr>
        <w:spacing w:after="40"/>
      </w:pPr>
    </w:p>
    <w:p>
      <w:pPr>
        <w:keepNext/>
        <w:spacing w:before="260" w:after="120"/>
      </w:pPr>
      <w:r>
        <w:rPr>
          <w:rFonts w:ascii="Aptos" w:hAnsi="Aptos" w:eastAsia="Aptos"/>
          <w:b/>
          <w:color w:val="17365D"/>
          <w:sz w:val="30"/>
        </w:rPr>
        <w:t>Operational Boundary Preservation and Propagation Control</w:t>
      </w:r>
    </w:p>
    <w:p>
      <w:pPr>
        <w:spacing w:after="120" w:line="254" w:lineRule="auto"/>
      </w:pPr>
      <w:r>
        <w:rPr>
          <w:rFonts w:ascii="Aptos" w:hAnsi="Aptos" w:eastAsia="Aptos"/>
          <w:b w:val="0"/>
          <w:color w:val="1F2937"/>
          <w:sz w:val="20"/>
        </w:rPr>
        <w:t>Operational boundaries preserve governance meaning. A boundary defines which workflow is being supported, which audience may interpret the information, which authority may decide, which system may retain the artifact, and which reliance can be placed on the resulting output. Boundary loss occurs when information remains visible after its purpose changes, when AI-generated outputs are reused without source context, when vendor tools become practical control points, or when exception handling becomes informal infrastructure.</w:t>
      </w:r>
    </w:p>
    <w:p>
      <w:pPr>
        <w:spacing w:after="120" w:line="254" w:lineRule="auto"/>
      </w:pPr>
      <w:r>
        <w:rPr>
          <w:rFonts w:ascii="Aptos" w:hAnsi="Aptos" w:eastAsia="Aptos"/>
          <w:b w:val="0"/>
          <w:color w:val="1F2937"/>
          <w:sz w:val="20"/>
        </w:rPr>
        <w:t>Propagation control is a containment discipline. It does not prohibit necessary movement of information, but it requires that movement be conscious, bounded, and reconstructable. When operational content moves through integrations, summaries, reports, AI prompts, vendor tools, executive decks, or customer communications, the receiving artifact must inherit the classification, limitation, evidence status, audience boundary, and decision context needed to prevent misuse.</w:t>
      </w:r>
    </w:p>
    <w:p>
      <w:pPr>
        <w:keepNext w:val="1"/>
        <w:spacing w:before="160" w:after="80"/>
      </w:pPr>
      <w:r>
        <w:rPr>
          <w:rFonts w:ascii="Aptos" w:hAnsi="Aptos" w:eastAsia="Aptos"/>
          <w:b/>
          <w:color w:val="17365D"/>
          <w:sz w:val="22"/>
        </w:rPr>
        <w:t>Propagation Containment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Propagation Type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How Exposure Expands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Risk</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Discipline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Direct transfer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is sent from one role, system, or workflow to another.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 may treat transfer as permission to reuse.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Attach purpose, audience, and onward-use limitation.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Derived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score, dashboard, or narrative is created from source material.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Derived artifact may reveal more than source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Classify output by consequence and retain source trace.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Cross-system integration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Data moves through connectors, automations, or vendor platforms.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Receiving system may lack original boundary and retention logic.</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downstream systems and apply equivalent handling.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Collaborative reuse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paste content into shared documents, chats, or project boards.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creates informal archive and broad interpretation.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restricted channel or redacted operational summary.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representation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or evidence becomes customer, partner, investor, or public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fact becomes trust signal.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representation authority and evidence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AI-mediated propagation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Prompts and generated responses convert source context into portable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output may cross audience and workflow boundaries silently.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 prompt scope, label generated output, and control reuse.</w:t>
            </w:r>
          </w:p>
        </w:tc>
      </w:tr>
    </w:tbl>
    <w:p>
      <w:pPr>
        <w:spacing w:after="40"/>
      </w:pPr>
    </w:p>
    <w:p>
      <w:pPr>
        <w:keepNext w:val="1"/>
        <w:spacing w:before="160" w:after="80"/>
      </w:pPr>
      <w:r>
        <w:rPr>
          <w:rFonts w:ascii="Aptos" w:hAnsi="Aptos" w:eastAsia="Aptos"/>
          <w:b/>
          <w:color w:val="17365D"/>
          <w:sz w:val="22"/>
        </w:rPr>
        <w:t>Boundary-Preservation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Preservation Model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 Preserved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Value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Role-separated visibility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review, decision, and representation roles view only necessary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reviewer sees source records while customer team receives approved summary.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authority confusion and over-disclosure.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Context-carrying artifact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Copy or summary retains source, date, scope, caveat, and permitted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Export includes population note and evidence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Improves reconstruction and prevents false confidence.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workflow lane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High-consequence items move through defined queue or channel.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AI-output review uses governed path rather than ordinary ticket queue.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escalation and handling discipline.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Audience-specific reporting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Different audiences receive tailored detail and limitations.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status includes consequence options; customer update includes bounded representation.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internal analysis from becoming external claim.</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Dependency-aware routing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system, and vendor dependencies remain visible when work moves.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Vendor-assisted remediation records provider role and fallback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hidden infrastructure from replacing governance ownership.</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checkpoint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or summarized outputs require review before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summary is adopted by reviewer before inclusion in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Protects decision and evidence boundaries.</w:t>
            </w:r>
          </w:p>
        </w:tc>
      </w:tr>
    </w:tbl>
    <w:p>
      <w:pPr>
        <w:spacing w:after="40"/>
      </w:pPr>
    </w:p>
    <w:p>
      <w:pPr>
        <w:keepNext w:val="1"/>
        <w:spacing w:before="160" w:after="80"/>
      </w:pPr>
      <w:r>
        <w:rPr>
          <w:rFonts w:ascii="Aptos" w:hAnsi="Aptos" w:eastAsia="Aptos"/>
          <w:b/>
          <w:color w:val="17365D"/>
          <w:sz w:val="22"/>
        </w:rPr>
        <w:t>Restricted Propagation Controls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Accountability Marker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Weakness If Missing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approval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content moves only through approved workflow, audience, or system.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or governance function authorizes movement.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copy sensitive context to solve immediate friction.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labeling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Copies, summaries, and exports carry classification and permitted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shows source, date, scope, and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 treats copy as standalone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Downstream location map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Receiving systems and repositories are known for sensitive outputs.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record identifies where information traveled.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persists outside source correction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expiration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Access or reliance is revisited when event, project, or purpose closes.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date or closure trigger is visible.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access becomes permanent visibility.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log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manual summary, extraction, or scoring step is documented.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reconstruct source-to-output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narrative loses provenance.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use pauses when evidence, confidence, or limitation is uncertain.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owner controls release.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update becomes unsupported confidence.</w:t>
            </w:r>
          </w:p>
        </w:tc>
      </w:tr>
    </w:tbl>
    <w:p>
      <w:pPr>
        <w:spacing w:after="40"/>
      </w:pPr>
    </w:p>
    <w:p>
      <w:pPr>
        <w:keepNext/>
        <w:spacing w:before="260" w:after="120"/>
      </w:pPr>
      <w:r>
        <w:rPr>
          <w:rFonts w:ascii="Aptos" w:hAnsi="Aptos" w:eastAsia="Aptos"/>
          <w:b/>
          <w:color w:val="17365D"/>
          <w:sz w:val="30"/>
        </w:rPr>
        <w:t>Dependency-Aware Containment and Consequence-Scaled Treatment</w:t>
      </w:r>
    </w:p>
    <w:p>
      <w:pPr>
        <w:spacing w:after="120" w:line="254" w:lineRule="auto"/>
      </w:pPr>
      <w:r>
        <w:rPr>
          <w:rFonts w:ascii="Aptos" w:hAnsi="Aptos" w:eastAsia="Aptos"/>
          <w:b w:val="0"/>
          <w:color w:val="1F2937"/>
          <w:sz w:val="20"/>
        </w:rPr>
        <w:t>Containment must account for dependencies. A workflow may appear bounded while relying on a vendor platform, AI service, shared dashboard, external provider, or informal coordinator that expands visibility and treatment consequence. Dependency-aware containment asks what external or adjacent function can alter the exposure, where records are retained, whether fallback preserves evidence quality, and whether the organization can continue to govern the workflow if the dependency changes or becomes unavailable.</w:t>
      </w:r>
    </w:p>
    <w:p>
      <w:pPr>
        <w:spacing w:after="120" w:line="254" w:lineRule="auto"/>
      </w:pPr>
      <w:r>
        <w:rPr>
          <w:rFonts w:ascii="Aptos" w:hAnsi="Aptos" w:eastAsia="Aptos"/>
          <w:b w:val="0"/>
          <w:color w:val="1F2937"/>
          <w:sz w:val="20"/>
        </w:rPr>
        <w:t>Consequence-scaled containment connects boundary strength to exposure severity. Low-consequence conditions may require basic owner-managed containment. Governance-sensitive information, decision-sensitive automation, restricted workflow outputs, vendor-mediated evidence, and external reliance require stronger containment because the institutional consequence of boundary loss is asymmetric. Once sensitive context is over-distributed, later correction may not restore trust, evidence integrity, or decision clarity.</w:t>
      </w:r>
    </w:p>
    <w:p>
      <w:pPr>
        <w:keepNext w:val="1"/>
        <w:spacing w:before="160" w:after="80"/>
      </w:pPr>
      <w:r>
        <w:rPr>
          <w:rFonts w:ascii="Aptos" w:hAnsi="Aptos" w:eastAsia="Aptos"/>
          <w:b/>
          <w:color w:val="17365D"/>
          <w:sz w:val="22"/>
        </w:rPr>
        <w:t>Dependency-Aware Containment Pathways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Dependency Pathway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Indicator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Governance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platform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stores, routes, summarizes, or exposes operational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cannot complete workflow outside vendor tool.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provider access, retention, export, and fallback method.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service dependency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output shapes classification, routing, evidence, or decision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Reviewers begin accepting AI summaries as primary understanding.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review, override path, and model-change trigger.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Shared dashboard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Multiple audiences rely on one status signal.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becomes default answer for executive and customer inquiries.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audience views and validate metric scope.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Integration dependency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crosses systems automatically without human boundary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fields appear in downstream queue or report.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flow, classification inheritance, and containment owner.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coordination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Informal role controls routing, context, or exception interpretation.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 continues because one person knows what to suppress or share.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Replace informal handling with documented boundary logic.</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repository dependency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needed for confidence or reconstruction are retained outside source process.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becomes stronger than source-system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lineage and review repository access.</w:t>
            </w:r>
          </w:p>
        </w:tc>
      </w:tr>
    </w:tbl>
    <w:p>
      <w:pPr>
        <w:spacing w:after="40"/>
      </w:pPr>
    </w:p>
    <w:p>
      <w:pPr>
        <w:keepNext w:val="1"/>
        <w:spacing w:before="160" w:after="80"/>
      </w:pPr>
      <w:r>
        <w:rPr>
          <w:rFonts w:ascii="Aptos" w:hAnsi="Aptos" w:eastAsia="Aptos"/>
          <w:b/>
          <w:color w:val="17365D"/>
          <w:sz w:val="22"/>
        </w:rPr>
        <w:t>Consequence-Aware Containment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Consequence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Level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Escalation Trigger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reversible variance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Basic operational containment.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Named owner, known scope, and no sensitive propagation.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Recurrence or workflow expansion.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 workflow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Purpose-limited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audience, system boundary, and distribution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expands or content becomes aggregated.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Evidence-supporting artifact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Lineage-preserving containment.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scope, date, transformation record, and review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supports assertion or external response.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Decision-sensitive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Authority-preserving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Accountable decision role, rationale, override, and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or vendor signal affects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governance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Governance-controlled containment.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owner, residual exposure record, and response options.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loss affects trust or confidence.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Externally relied-upon representation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Representation-controlled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language, current evidence, audience limitation, and release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Statement confidence exceeds evidence support.</w:t>
            </w:r>
          </w:p>
        </w:tc>
      </w:tr>
    </w:tbl>
    <w:p>
      <w:pPr>
        <w:spacing w:after="40"/>
      </w:pPr>
    </w:p>
    <w:p>
      <w:pPr>
        <w:keepNext w:val="1"/>
        <w:spacing w:before="160" w:after="80"/>
      </w:pPr>
      <w:r>
        <w:rPr>
          <w:rFonts w:ascii="Aptos" w:hAnsi="Aptos" w:eastAsia="Aptos"/>
          <w:b/>
          <w:color w:val="17365D"/>
          <w:sz w:val="22"/>
        </w:rPr>
        <w:t>Containment-Versus-Convenience Tradeoffs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Convenience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Benefit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Cost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context sharing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back-and-forth and accelerates task execution.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Unnecessary sensitive information becomes normalized.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minimum necessary summary and restricted detail appendix.</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Universal dashboard access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Creates common view for coordination and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Different audiences infer different confidence from same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dashboard views and add limitation markers.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full-context prompting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Improves generated output quality and reduces drafting time.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captures unnecessary restricted or governance-sensitive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bounded prompts and exclude nonessential sensitive facts.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Shared vendor workspace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Simplifies collaboration with external provider.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retains more institutional context than service requires.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provider purpose, access scope, and deletion expectation.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Standing exception list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Avoids repeated explanation of familiar deviations.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normalization weakens escalation and reassessment.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recurrence trigger and owner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Speeds audit support and repeated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evidence persists after source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Refresh lineage and mark package validity period.</w:t>
            </w:r>
          </w:p>
        </w:tc>
      </w:tr>
    </w:tbl>
    <w:p>
      <w:pPr>
        <w:spacing w:after="40"/>
      </w:pPr>
    </w:p>
    <w:p>
      <w:pPr>
        <w:keepNext w:val="1"/>
        <w:spacing w:before="160" w:after="80"/>
      </w:pPr>
      <w:r>
        <w:rPr>
          <w:rFonts w:ascii="Aptos" w:hAnsi="Aptos" w:eastAsia="Aptos"/>
          <w:b/>
          <w:color w:val="17365D"/>
          <w:sz w:val="22"/>
        </w:rPr>
        <w:t>Governance Survivability Containment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Survivability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Minimum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rationale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The reason for containment can be explained later.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basis, consequence factor, and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Future reviewer sees restriction but not why it exists.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trace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Movement of sensitive information is reconstructable.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recipient, system, date, and permitted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cannot be contained after reuse.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attribution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changes and exceptions are attributable.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Approver, rationale, residual exposure, and time limit.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sharing occurs through informal consensus.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visibility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and internal dependencies supporting containment are known.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system, owner, fallback, and retention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fails when hidden dependency changes.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Context preservation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Copies and summaries retain enough detail to prevent misinterpretation.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Scope, caveat, freshness, and transformation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Sanitized output becomes misleading confidence.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Refresh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adjusts when workflow, audience, evidence, or AI behavior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date, trigger event, and reassessment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boundary survives new operating reality.</w:t>
            </w:r>
          </w:p>
        </w:tc>
      </w:tr>
    </w:tbl>
    <w:p>
      <w:pPr>
        <w:spacing w:after="40"/>
      </w:pPr>
    </w:p>
    <w:p>
      <w:pPr>
        <w:keepNext/>
        <w:spacing w:before="260" w:after="120"/>
      </w:pPr>
      <w:r>
        <w:rPr>
          <w:rFonts w:ascii="Aptos" w:hAnsi="Aptos" w:eastAsia="Aptos"/>
          <w:b/>
          <w:color w:val="17365D"/>
          <w:sz w:val="30"/>
        </w:rPr>
        <w:t>AI-Assisted Operational Boundary Erosion and Containment Failure</w:t>
      </w:r>
    </w:p>
    <w:p>
      <w:pPr>
        <w:spacing w:after="120" w:line="254" w:lineRule="auto"/>
      </w:pPr>
      <w:r>
        <w:rPr>
          <w:rFonts w:ascii="Aptos" w:hAnsi="Aptos" w:eastAsia="Aptos"/>
          <w:b w:val="0"/>
          <w:color w:val="1F2937"/>
          <w:sz w:val="20"/>
        </w:rPr>
        <w:t>AI-assisted systems encourage broad-context accumulation because larger context often produces more fluent summaries, more useful recommendations, faster drafting, and fewer follow-up questions. That operational benefit can erode governance boundaries. Prompting with complete histories, unrestricted evidence packages, vendor details, exception notes, and decision context may improve immediate output while creating derived artifacts that cross workflow, audience, confidentiality, and representation boundaries without the same control applied to the source material.</w:t>
      </w:r>
    </w:p>
    <w:p>
      <w:pPr>
        <w:spacing w:after="120" w:line="254" w:lineRule="auto"/>
      </w:pPr>
      <w:r>
        <w:rPr>
          <w:rFonts w:ascii="Aptos" w:hAnsi="Aptos" w:eastAsia="Aptos"/>
          <w:b w:val="0"/>
          <w:color w:val="1F2937"/>
          <w:sz w:val="20"/>
        </w:rPr>
        <w:t>Generated outputs can also cross operational boundaries silently. An AI-assisted summary prepared for internal remediation may be reused in executive reporting; a model-generated classification may alter queue priority; a dashboard narrative may convert operational status into confidence language; an automated recommendation may become the practical decision path. Survivable governance requires deliberate containment structures around AI input, output, transformation, reuse, and reliance, especially where the system compresses uncertainty into coherent language.</w:t>
      </w:r>
    </w:p>
    <w:p>
      <w:pPr>
        <w:keepNext w:val="1"/>
        <w:spacing w:before="160" w:after="80"/>
      </w:pPr>
      <w:r>
        <w:rPr>
          <w:rFonts w:ascii="Aptos" w:hAnsi="Aptos" w:eastAsia="Aptos"/>
          <w:b/>
          <w:color w:val="17365D"/>
          <w:sz w:val="22"/>
        </w:rPr>
        <w:t>AI-Assisted Containment Concerns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AI Use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 Erosion Mechanism</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Institutional Exposure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Requirement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Broad-context prompting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Users include full background to improve answer quality.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facts enter generated artifacts or tool history.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prompt context and document approved use case.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executive summary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converts operational detail into polished posture language.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Unresolved exposure appears stable or confidence-ready.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review, caveat retention, and adoption record.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classification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labels content, severity, or confidentiality without context-specific judgment.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cases are normalized or misrouted.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outputs and preserve manual escalation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AI-assisted queue routing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directs work based on inferred urgency or similarity.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Decision-sensitive items may bypass intended review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routing override and consequence flags.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narrative synthesis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explains metrics and trends for multiple audiences.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Audience-specific limitations are compressed or removed.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narratives by audience and evidence support.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AI-generated remediation language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Drafts treatment rationale, closure notes, or response statements.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explanation substitutes for accountable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draft status and require decision-owner approval.</w:t>
            </w:r>
          </w:p>
        </w:tc>
      </w:tr>
    </w:tbl>
    <w:p>
      <w:pPr>
        <w:spacing w:after="40"/>
      </w:pPr>
    </w:p>
    <w:p>
      <w:pPr>
        <w:keepNext w:val="1"/>
        <w:spacing w:before="160" w:after="80"/>
      </w:pPr>
      <w:r>
        <w:rPr>
          <w:rFonts w:ascii="Aptos" w:hAnsi="Aptos" w:eastAsia="Aptos"/>
          <w:b/>
          <w:color w:val="17365D"/>
          <w:sz w:val="22"/>
        </w:rPr>
        <w:t>Operational Boundary Escalation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Trigger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What Boundary Is at Risk</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Escalation Route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leaves original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Process and purpose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 may lack context or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information owner or workflow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content enters AI processing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and transformation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output may change sensitivity or persistence.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AI-use reviewer and governance owner.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receives governance-sensitive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processing and dependency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visibility may exceed service need.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vendor owner and dependency governance.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or summary reaches new audience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and representation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Signal may imply broader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representation authority and evidence steward.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changes treatment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and escalation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accountability may become formal only.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accountable decision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 becomes routine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and reassessment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control becomes operating model.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governance maintenance forum.</w:t>
            </w:r>
          </w:p>
        </w:tc>
      </w:tr>
    </w:tbl>
    <w:p>
      <w:pPr>
        <w:spacing w:after="40"/>
      </w:pPr>
    </w:p>
    <w:p>
      <w:pPr>
        <w:keepNext w:val="1"/>
        <w:spacing w:before="160" w:after="80"/>
      </w:pPr>
      <w:r>
        <w:rPr>
          <w:rFonts w:ascii="Aptos" w:hAnsi="Aptos" w:eastAsia="Aptos"/>
          <w:b/>
          <w:color w:val="17365D"/>
          <w:sz w:val="22"/>
        </w:rPr>
        <w:t>Governance-Aligned Workflow Boundaries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Workflow Boundary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Design Principle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Application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Outcome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intake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Collect only context needed for classification and routing.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Initial form separates restricted facts from routine request data.</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Minimizes exposure before severity is known.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 reviewers with source context and limitation without unnecessary audience expansion.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reviewer accesses source package rather than executive summary only.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reviewability and confidentiality.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 decision authority distinct from recommendation, drafting, and operational execution.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recommendation is reviewed by accountable owner before action.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Maintains decision attribution.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provider sees only service-relevant context and processing purpose.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ticket includes sanitized workflow category and reference number.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provider-mediated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Reporting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Match detail level to audience, reliance, and evidence support.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report includes consequence and limits; external update uses approved statement.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uncontrolled trust signaling.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 not close containment until propagation, evidence, dependency, and residual exposure are resolved.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record lists downstream artifacts and remaining restrictions.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Supports reconstruction and survivability.</w:t>
            </w:r>
          </w:p>
        </w:tc>
      </w:tr>
    </w:tbl>
    <w:p>
      <w:pPr>
        <w:spacing w:after="40"/>
      </w:pPr>
    </w:p>
    <w:p>
      <w:pPr>
        <w:keepNext/>
        <w:spacing w:before="260" w:after="120"/>
      </w:pPr>
      <w:r>
        <w:rPr>
          <w:rFonts w:ascii="Aptos" w:hAnsi="Aptos" w:eastAsia="Aptos"/>
          <w:b/>
          <w:color w:val="17365D"/>
          <w:sz w:val="30"/>
        </w:rPr>
        <w:t>Section II Operational Governance Synthesis</w:t>
      </w:r>
    </w:p>
    <w:p>
      <w:pPr>
        <w:spacing w:after="120" w:line="254" w:lineRule="auto"/>
      </w:pPr>
      <w:r>
        <w:rPr>
          <w:rFonts w:ascii="Aptos" w:hAnsi="Aptos" w:eastAsia="Aptos"/>
          <w:b w:val="0"/>
          <w:color w:val="1F2937"/>
          <w:sz w:val="20"/>
        </w:rPr>
        <w:t>Section II establishes that operational exposure is governed through classification, segmentation, dependency awareness, severity calibration, restricted handling, review discipline, propagation control, vendor treatment, AI-use boundaries, and consequence-aware escalation. These domains are not independent checklists. They operate as a connected containment system. Sensitive information classification affects propagation; vendor dependency affects evidence survivability; AI-assisted routing affects severity treatment; retention affects reconstruction; external reliance affects confidentiality and confidence; workflow segmentation affects accountability.</w:t>
      </w:r>
    </w:p>
    <w:p>
      <w:pPr>
        <w:spacing w:after="120" w:line="254" w:lineRule="auto"/>
      </w:pPr>
      <w:r>
        <w:rPr>
          <w:rFonts w:ascii="Aptos" w:hAnsi="Aptos" w:eastAsia="Aptos"/>
          <w:b w:val="0"/>
          <w:color w:val="1F2937"/>
          <w:sz w:val="20"/>
        </w:rPr>
        <w:t>The practical governance objective is not to freeze operations. Institutions must move information, use vendors, adopt AI-assisted systems, produce reports, respond to customers, preserve evidence, and make decisions under pressure. The objective is to keep those movements bounded enough that operational reality remains explainable. A survivable Section II operating model allows the organization to answer what moved, why it moved, who could rely on it, what boundary applied, what evidence supported it, what dependency shaped it, and who retained accountability.</w:t>
      </w:r>
    </w:p>
    <w:p>
      <w:pPr>
        <w:keepNext w:val="1"/>
        <w:spacing w:before="160" w:after="80"/>
      </w:pPr>
      <w:r>
        <w:rPr>
          <w:rFonts w:ascii="Aptos" w:hAnsi="Aptos" w:eastAsia="Aptos"/>
          <w:b/>
          <w:color w:val="17365D"/>
          <w:sz w:val="22"/>
        </w:rPr>
        <w:t>Exposure Survivability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Expectation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Prevented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Known exposure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The institution can define scope, audience, system, and workflow affected.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note, classification record, and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expands without trace.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Minimum necessary visibility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Recipients receive enough context to act, not enough to create unnecessary inference.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Audience-specific summary or redacted artifact.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context becomes normalized.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accountability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Movement across systems, roles, or artifacts is owned.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log or workflow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artifacts persist outside containment.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AI, system, and human dependencies remain visible.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and fallback method.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Hidden infrastructure defeats recovery.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Reconstructable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Later reviewer can explain containment, exception, escalation, or closure.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rationale, authority, evidence, and residual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success cannot be defended.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refresh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adapts when workflow, audience, AI use, vendor role, or reliance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 and date.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controls govern new operating reality.</w:t>
            </w:r>
          </w:p>
        </w:tc>
      </w:tr>
    </w:tbl>
    <w:p>
      <w:pPr>
        <w:spacing w:after="40"/>
      </w:pPr>
    </w:p>
    <w:p>
      <w:pPr>
        <w:keepNext/>
        <w:spacing w:before="260" w:after="120"/>
      </w:pPr>
      <w:r>
        <w:rPr>
          <w:rFonts w:ascii="Aptos" w:hAnsi="Aptos" w:eastAsia="Aptos"/>
          <w:b/>
          <w:color w:val="17365D"/>
          <w:sz w:val="30"/>
        </w:rPr>
        <w:t>Governance Containment and Operational Boundary Operating Standard</w:t>
      </w:r>
    </w:p>
    <w:p>
      <w:pPr>
        <w:spacing w:after="120" w:line="254" w:lineRule="auto"/>
      </w:pPr>
      <w:r>
        <w:rPr>
          <w:rFonts w:ascii="Aptos" w:hAnsi="Aptos" w:eastAsia="Aptos"/>
          <w:b w:val="0"/>
          <w:color w:val="1F2937"/>
          <w:sz w:val="20"/>
        </w:rPr>
        <w:t>Governance containment under this framework shall preserve operational boundaries, minimize unnecessary exposure, restrict propagation, maintain dependency visibility, and scale treatment according to consequence. Organizations implementing this framework shall distinguish containment, isolation, minimization, bounded visibility, restricted propagation, operational convenience, governance-aligned workflow design, survivable operational boundaries, AI-mediated boundary erosion, and consequence-aware containment.</w:t>
      </w:r>
    </w:p>
    <w:p>
      <w:pPr>
        <w:spacing w:after="120" w:line="254" w:lineRule="auto"/>
      </w:pPr>
      <w:r>
        <w:rPr>
          <w:rFonts w:ascii="Aptos" w:hAnsi="Aptos" w:eastAsia="Aptos"/>
          <w:b w:val="0"/>
          <w:color w:val="1F2937"/>
          <w:sz w:val="20"/>
        </w:rPr>
        <w:t>Operational exposure shall be contained through minimum necessary context, purpose-limited access, audience-specific reporting, source-linked summaries, controlled artifact duplication, restricted vendor processing, AI-output review, evidence lineage, and representation boundary discipline. Containment shall not be treated as absolute isolation; controlled movement is permitted where the receiving artifact preserves classification, source context, permitted use, evidence status, and accountable ownership.</w:t>
      </w:r>
    </w:p>
    <w:p>
      <w:pPr>
        <w:spacing w:after="120" w:line="254" w:lineRule="auto"/>
      </w:pPr>
      <w:r>
        <w:rPr>
          <w:rFonts w:ascii="Aptos" w:hAnsi="Aptos" w:eastAsia="Aptos"/>
          <w:b w:val="0"/>
          <w:color w:val="1F2937"/>
          <w:sz w:val="20"/>
        </w:rPr>
        <w:t>Boundary preservation shall be reassessed when information leaves its original workflow, restricted content enters AI-assisted processing, vendor tools receive governance-sensitive context, dashboards or summaries reach new audiences, automation changes treatment paths, recurring exceptions become routine, or external reliance attaches to internal operational material. Convenience shall not silently override confidentiality, decision authority, evidence survivability, or dependency visibility.</w:t>
      </w:r>
    </w:p>
    <w:p>
      <w:pPr>
        <w:spacing w:after="120" w:line="254" w:lineRule="auto"/>
      </w:pPr>
      <w:r>
        <w:rPr>
          <w:rFonts w:ascii="Aptos" w:hAnsi="Aptos" w:eastAsia="Aptos"/>
          <w:b w:val="0"/>
          <w:color w:val="1F2937"/>
          <w:sz w:val="20"/>
        </w:rPr>
        <w:t>The operating standard for this section, and the operational conclusion of Section II, is governance-preserving containment. Exposure is governed sufficiently only when visibility is bounded, propagation is reconstructable, restricted information retains context, dependencies remain visible, AI-mediated outputs are controlled, treatment scales with consequence, and operational boundaries remain understandable to future reviewers, operators, and governance owners. Section III implementation and safeguards build from this containment posture by converting these boundaries into applied controls, operating procedures, and evidence-supported review mechanisms.</w:t>
      </w:r>
    </w:p>
    <w:sectPr w:rsidR="00FC693F" w:rsidRPr="0006063C" w:rsidSect="00034616">
      <w:footerReference w:type="default" r:id="rId9"/>
      <w:pgSz w:w="12240" w:h="15840"/>
      <w:pgMar w:top="1037" w:right="792" w:bottom="792" w:left="792"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b w:val="0"/>
        <w:color w:val="53657D"/>
        <w:sz w:val="16"/>
      </w:rPr>
      <w:t>Paladin Compliance Governance Binder | Section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