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r>
        <w:rPr>
          <w:rFonts w:ascii="微软雅黑" w:hAnsi="微软雅黑" w:eastAsia="微软雅黑" w:cs="微软雅黑"/>
          <w:sz w:val="22"/>
          <w:szCs w:val="22"/>
        </w:rPr>
        <w:drawing>
          <wp:anchor distT="0" distB="0" distL="114300" distR="114300" simplePos="0" relativeHeight="251667456" behindDoc="0" locked="0" layoutInCell="1" allowOverlap="1">
            <wp:simplePos x="0" y="0"/>
            <wp:positionH relativeFrom="page">
              <wp:posOffset>-1270</wp:posOffset>
            </wp:positionH>
            <wp:positionV relativeFrom="paragraph">
              <wp:posOffset>-917575</wp:posOffset>
            </wp:positionV>
            <wp:extent cx="7572375"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2172" cy="1070610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spacing w:line="600" w:lineRule="exact"/>
        <w:jc w:val="left"/>
        <w:rPr>
          <w:rFonts w:ascii="微软雅黑" w:hAnsi="微软雅黑" w:eastAsia="微软雅黑" w:cs="微软雅黑"/>
          <w:color w:val="35699B"/>
          <w:sz w:val="36"/>
          <w:szCs w:val="36"/>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64384" behindDoc="0" locked="0" layoutInCell="1" allowOverlap="1">
                <wp:simplePos x="0" y="0"/>
                <wp:positionH relativeFrom="column">
                  <wp:posOffset>-397510</wp:posOffset>
                </wp:positionH>
                <wp:positionV relativeFrom="paragraph">
                  <wp:posOffset>-448945</wp:posOffset>
                </wp:positionV>
                <wp:extent cx="7264400" cy="448945"/>
                <wp:effectExtent l="0" t="0" r="0" b="8890"/>
                <wp:wrapNone/>
                <wp:docPr id="2" name="矩形 2"/>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35.35pt;height:35.35pt;width:572pt;z-index:251664384;v-text-anchor:middle;mso-width-relative:page;mso-height-relative:page;" fillcolor="#FFFFFF [3201]" filled="t" stroked="f" coordsize="21600,21600" o:gfxdata="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Ux6UZ2QAAAAkBAAAPAAAAAAAAAAEA&#10;IAAAADgAAABkcnMvZG93bnJldi54bWxQSwECFAAUAAAACACHTuJA4kxmS2oCAADLBAAADgAAAAAA&#10;AAABACAAAAA+AQAAZHJzL2Uyb0RvYy54bWxQSwUGAAAAAAYABgBZAQAAGgY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36"/>
          <w:szCs w:val="36"/>
        </w:rPr>
        <w:t>致读者</w:t>
      </w:r>
    </w:p>
    <w:p>
      <w:pPr>
        <w:spacing w:line="360" w:lineRule="auto"/>
        <w:jc w:val="left"/>
        <w:rPr>
          <w:rFonts w:ascii="微软雅黑" w:hAnsi="微软雅黑" w:eastAsia="微软雅黑" w:cs="微软雅黑"/>
          <w:sz w:val="28"/>
          <w:szCs w:val="28"/>
        </w:rPr>
      </w:pPr>
      <w:r>
        <w:rPr>
          <w:rFonts w:hint="eastAsia" w:ascii="宋体" w:hAnsi="宋体" w:eastAsia="宋体" w:cs="宋体"/>
          <w:b/>
          <w:bCs/>
          <w:sz w:val="8"/>
          <w:szCs w:val="8"/>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349250</wp:posOffset>
                </wp:positionV>
                <wp:extent cx="643636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6436360" cy="0"/>
                        </a:xfrm>
                        <a:prstGeom prst="line">
                          <a:avLst/>
                        </a:prstGeom>
                        <a:ln w="3175">
                          <a:solidFill>
                            <a:srgbClr val="35699B"/>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27.5pt;height:0pt;width:506.8pt;z-index:251660288;mso-width-relative:page;mso-height-relative:page;" filled="f" stroked="t" coordsize="21600,21600" o:gfxdata="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EXP2fWAAAACAEAAA8AAAAAAAAAAQAgAAAAOAAAAGRycy9k&#10;b3ducmV2LnhtbFBLAQIUABQAAAAIAIdO4kAoNJrD7gEAALYDAAAOAAAAAAAAAAEAIAAAADsBAABk&#10;cnMvZTJvRG9jLnhtbFBLBQYAAAAABgAGAFkBAACbBQAAAAA=&#10;">
                <v:fill on="f" focussize="0,0"/>
                <v:stroke weight="0.25pt" color="#35699B [3204]" miterlimit="8" joinstyle="miter" dashstyle="1 1"/>
                <v:imagedata o:title=""/>
                <o:lock v:ext="edit" aspectratio="f"/>
              </v:line>
            </w:pict>
          </mc:Fallback>
        </mc:AlternateContent>
      </w:r>
      <w:r>
        <w:rPr>
          <w:rFonts w:ascii="Calibri Light" w:hAnsi="Calibri Light" w:eastAsia="微软雅黑" w:cs="Calibri Light"/>
          <w:color w:val="35699B"/>
          <w:sz w:val="28"/>
          <w:szCs w:val="28"/>
        </w:rPr>
        <w:t>TO</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WHOM</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MAY</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CONCERN</w:t>
      </w:r>
    </w:p>
    <w:p>
      <w:pPr>
        <w:spacing w:before="120" w:beforeLines="50" w:after="120" w:afterLines="50" w:line="264"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尊敬的先生/女士：</w:t>
      </w:r>
    </w:p>
    <w:p>
      <w:pPr>
        <w:spacing w:before="120" w:beforeLines="50" w:after="120" w:afterLines="50" w:line="264" w:lineRule="auto"/>
        <w:ind w:firstLine="440" w:firstLineChars="200"/>
        <w:rPr>
          <w:rFonts w:ascii="楷体" w:hAnsi="楷体" w:eastAsia="楷体" w:cs="Kaiti SC Regular"/>
          <w:sz w:val="22"/>
          <w:szCs w:val="22"/>
        </w:rPr>
      </w:pPr>
      <w:r>
        <w:rPr>
          <w:rFonts w:hint="eastAsia" w:ascii="楷体" w:hAnsi="楷体" w:eastAsia="楷体" w:cs="Kaiti SC Regular"/>
          <w:sz w:val="22"/>
          <w:szCs w:val="22"/>
        </w:rPr>
        <w:t>您好！感谢您的选择和信任！</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w:t>
      </w:r>
      <w:r>
        <w:rPr>
          <w:rFonts w:ascii="Arial" w:hAnsi="Arial" w:eastAsia="楷体" w:cs="Arial"/>
          <w:bCs/>
          <w:sz w:val="22"/>
          <w:szCs w:val="22"/>
        </w:rPr>
        <w:t>JIEMA</w:t>
      </w:r>
      <w:r>
        <w:rPr>
          <w:rFonts w:hint="eastAsia" w:ascii="Arial" w:hAnsi="Arial" w:eastAsia="楷体" w:cs="Arial"/>
          <w:bCs/>
          <w:sz w:val="22"/>
          <w:szCs w:val="22"/>
          <w:lang w:val="en-US" w:eastAsia="zh-CN"/>
        </w:rPr>
        <w:t xml:space="preserve"> </w:t>
      </w:r>
      <w:r>
        <w:rPr>
          <w:rFonts w:ascii="Arial" w:hAnsi="Arial" w:eastAsia="楷体" w:cs="Arial"/>
          <w:bCs/>
          <w:sz w:val="22"/>
          <w:szCs w:val="22"/>
        </w:rPr>
        <w:t>OncoMed</w:t>
      </w:r>
      <w:r>
        <w:rPr>
          <w:rFonts w:hint="eastAsia" w:ascii="楷体" w:hAnsi="楷体" w:eastAsia="楷体" w:cs="Kaiti SC Regular"/>
          <w:bCs/>
          <w:sz w:val="22"/>
          <w:szCs w:val="22"/>
        </w:rPr>
        <w:t>）是一家专注肿瘤全程管理的医药科技公司，成立于2011年，总部设于上海。公司一直秉承“以患者为中心”的核心价值观，致力于成为大数据引领的肿瘤精准医疗领域创新型领导者，通过对肿瘤基因组数据，临床诊疗数据、药物研发数据进行挖掘和运用，形成了诊断、数据系统和新药研发三位一体的独有业务模式，全方位为客户提供更加精准的医学决策，运用到精准医学的早期筛查、诊疗和新药开发中，对肿瘤患者、肿瘤高危人群、临床医生等群体提供更有价服务。</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是肿瘤精准医疗的领导者，公司设定了科学严格的流程管理和质量控制标准，由资深的科学团队对肿瘤基因组进行生物信息分析和变异位点注释，再由具备资深药理学、肿瘤学等专业背景和丰富临床经验的医学团队分析患者变异可能获益的靶向药物。</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患者朋友，请您不要过分恐慌，乐观豁达的心态和坚定积极的信念是战胜恶疾的强大力量。请您在科学治疗的同时，严格按照医生的建议调整生活作息，适当运动，科学饮食。亲爱的朋友，在战胜肿瘤的道路上您是勇敢的战士，但您并不孤单，解码医学全体将竭诚为您科学护航，真诚地祝愿您早日康复！</w:t>
      </w:r>
    </w:p>
    <w:p>
      <w:pPr>
        <w:spacing w:before="120" w:beforeLines="50" w:after="120" w:afterLines="50" w:line="288" w:lineRule="auto"/>
        <w:ind w:firstLine="440" w:firstLineChars="200"/>
        <w:jc w:val="right"/>
        <w:rPr>
          <w:rFonts w:hint="eastAsia" w:ascii="楷体" w:hAnsi="楷体" w:eastAsia="楷体" w:cs="Kaiti SC Regular"/>
          <w:sz w:val="22"/>
          <w:szCs w:val="22"/>
        </w:rPr>
      </w:pPr>
      <w:r>
        <w:rPr>
          <w:rFonts w:hint="eastAsia" w:ascii="楷体" w:hAnsi="楷体" w:eastAsia="楷体" w:cs="Kaiti SC Regular"/>
          <w:sz w:val="22"/>
          <w:szCs w:val="22"/>
        </w:rPr>
        <w:t>全体员工致</w:t>
      </w:r>
    </w:p>
    <w:p>
      <w:pPr>
        <w:spacing w:before="120" w:beforeLines="50" w:after="120" w:afterLines="50" w:line="288" w:lineRule="auto"/>
        <w:jc w:val="both"/>
        <w:rPr>
          <w:rFonts w:hint="eastAsia" w:ascii="楷体" w:hAnsi="楷体" w:eastAsia="楷体" w:cs="Kaiti SC Regular"/>
          <w:sz w:val="28"/>
          <w:szCs w:val="28"/>
        </w:rPr>
      </w:pPr>
    </w:p>
    <w:p>
      <w:pPr>
        <w:spacing w:before="120" w:beforeLines="50" w:after="120" w:afterLines="50" w:line="288" w:lineRule="auto"/>
        <w:jc w:val="both"/>
        <w:rPr>
          <w:rFonts w:ascii="楷体" w:hAnsi="楷体" w:eastAsia="楷体" w:cs="微软雅黑"/>
          <w:sz w:val="24"/>
        </w:rPr>
      </w:pPr>
      <w:r>
        <w:rPr>
          <w:rFonts w:hint="eastAsia" w:ascii="楷体" w:hAnsi="楷体" w:eastAsia="楷体" w:cs="微软雅黑"/>
          <w:sz w:val="24"/>
        </w:rPr>
        <w:br w:type="page"/>
      </w:r>
    </w:p>
    <w:p>
      <w:pPr>
        <w:ind w:left="283" w:leftChars="135"/>
        <w:jc w:val="left"/>
        <w:rPr>
          <w:rFonts w:ascii="微软雅黑" w:hAnsi="微软雅黑" w:eastAsia="微软雅黑" w:cs="微软雅黑"/>
          <w:sz w:val="4"/>
          <w:szCs w:val="4"/>
          <w:lang w:val="zh-CN"/>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77696" behindDoc="0" locked="0" layoutInCell="1" allowOverlap="1">
                <wp:simplePos x="0" y="0"/>
                <wp:positionH relativeFrom="column">
                  <wp:posOffset>-973455</wp:posOffset>
                </wp:positionH>
                <wp:positionV relativeFrom="paragraph">
                  <wp:posOffset>-444500</wp:posOffset>
                </wp:positionV>
                <wp:extent cx="7264400" cy="448945"/>
                <wp:effectExtent l="0" t="0" r="3175" b="8255"/>
                <wp:wrapNone/>
                <wp:docPr id="3" name="矩形 3"/>
                <wp:cNvGraphicFramePr/>
                <a:graphic xmlns:a="http://schemas.openxmlformats.org/drawingml/2006/main">
                  <a:graphicData uri="http://schemas.microsoft.com/office/word/2010/wordprocessingShape">
                    <wps:wsp>
                      <wps:cNvSpPr/>
                      <wps:spPr>
                        <a:xfrm>
                          <a:off x="0" y="0"/>
                          <a:ext cx="7264400" cy="44894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65pt;margin-top:-35pt;height:35.35pt;width:572pt;z-index:251677696;v-text-anchor:middle;mso-width-relative:page;mso-height-relative:page;" fillcolor="#FFFFFF [3201]" filled="t" stroked="f" coordsize="21600,21600" o:gfxdata="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7vfNgAAAAJAQAADwAAAAAAAAABACAA&#10;AAA4AAAAZHJzL2Rvd25yZXYueG1sUEsBAhQAFAAAAAgAh07iQMMRYqBpAgAAywQAAA4AAAAAAAAA&#10;AQAgAAAAPQEAAGRycy9lMm9Eb2MueG1sUEsFBgAAAAAGAAYAWQEAABgGA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4"/>
          <w:szCs w:val="4"/>
        </w:rPr>
        <mc:AlternateContent>
          <mc:Choice Requires="wps">
            <w:drawing>
              <wp:anchor distT="0" distB="0" distL="114300" distR="114300" simplePos="0" relativeHeight="251665408" behindDoc="0" locked="0" layoutInCell="1" allowOverlap="1">
                <wp:simplePos x="0" y="0"/>
                <wp:positionH relativeFrom="column">
                  <wp:posOffset>-976630</wp:posOffset>
                </wp:positionH>
                <wp:positionV relativeFrom="paragraph">
                  <wp:posOffset>-864235</wp:posOffset>
                </wp:positionV>
                <wp:extent cx="7264400" cy="448945"/>
                <wp:effectExtent l="0" t="0" r="0" b="8890"/>
                <wp:wrapNone/>
                <wp:docPr id="47" name="矩形 47"/>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9pt;margin-top:-68.05pt;height:35.35pt;width:572pt;z-index:251665408;v-text-anchor:middle;mso-width-relative:page;mso-height-relative:page;" fillcolor="#FFFFFF [3201]" filled="t" stroked="f" coordsize="21600,21600" o:gfxdata="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8Cw1StwAAAANAQAADwAAAAAA&#10;AAABACAAAAA4AAAAZHJzL2Rvd25yZXYueG1sUEsBAhQAFAAAAAgAh07iQLt34T5rAgAAzQQAAA4A&#10;AAAAAAAAAQAgAAAAQQEAAGRycy9lMm9Eb2MueG1sUEsFBgAAAAAGAAYAWQEAAB4GAAAAAA==&#10;">
                <v:fill on="t" focussize="0,0"/>
                <v:stroke on="f" weight="1pt" miterlimit="8" joinstyle="miter"/>
                <v:imagedata o:title=""/>
                <o:lock v:ext="edit" aspectratio="f"/>
              </v:rect>
            </w:pict>
          </mc:Fallback>
        </mc:AlternateContent>
      </w:r>
    </w:p>
    <w:p>
      <w:pPr>
        <w:rPr>
          <w:rFonts w:hint="eastAsia" w:cs="Times New Roman"/>
          <w:color w:val="FFFFFF" w:themeColor="background1"/>
          <w:lang w:val="en-US" w:eastAsia="zh-CN"/>
          <w14:textFill>
            <w14:solidFill>
              <w14:schemeClr w14:val="bg1"/>
            </w14:solidFill>
          </w14:textFill>
        </w:rPr>
      </w:pPr>
    </w:p>
    <w:sdt>
      <w:sdtPr>
        <w:rPr>
          <w:rFonts w:ascii="宋体" w:hAnsi="宋体" w:eastAsia="宋体" w:cstheme="minorBidi"/>
          <w:color w:val="FFFFFF" w:themeColor="background1"/>
          <w:kern w:val="2"/>
          <w:sz w:val="21"/>
          <w:szCs w:val="24"/>
          <w:lang w:val="en-US" w:eastAsia="zh-CN" w:bidi="ar-SA"/>
          <w14:textFill>
            <w14:solidFill>
              <w14:schemeClr w14:val="bg1"/>
            </w14:solidFill>
          </w14:textFill>
        </w:rPr>
        <w:id w:val="147474842"/>
        <w15:color w:val="DBDBDB"/>
        <w:docPartObj>
          <w:docPartGallery w:val="Table of Contents"/>
          <w:docPartUnique/>
        </w:docPartObj>
      </w:sdtPr>
      <w:sdtEndPr>
        <w:rPr>
          <w:rFonts w:cs="Times New Roman" w:asciiTheme="minorHAnsi" w:hAnsiTheme="minorHAnsi" w:eastAsiaTheme="minorEastAsia"/>
          <w:b/>
          <w:color w:val="FFFFFF" w:themeColor="background1"/>
          <w:kern w:val="2"/>
          <w:sz w:val="21"/>
          <w:szCs w:val="24"/>
          <w:lang w:val="en-US" w:eastAsia="zh-CN" w:bidi="ar-SA"/>
          <w14:textFill>
            <w14:solidFill>
              <w14:schemeClr w14:val="bg1"/>
            </w14:solidFill>
          </w14:textFill>
        </w:rPr>
      </w:sdtEndPr>
      <w:sdtContent>
        <w:p>
          <w:pPr>
            <w:spacing w:before="0" w:beforeLines="0" w:after="0" w:afterLines="0" w:line="240" w:lineRule="auto"/>
            <w:ind w:left="0" w:leftChars="0" w:right="0" w:rightChars="0" w:firstLine="2100" w:firstLineChars="1000"/>
            <w:jc w:val="center"/>
            <w:rPr>
              <w:color w:val="FFFFFF" w:themeColor="background1"/>
              <w14:textFill>
                <w14:solidFill>
                  <w14:schemeClr w14:val="bg1"/>
                </w14:solidFill>
              </w14:textFill>
            </w:rPr>
          </w:pPr>
          <w:r>
            <w:rPr>
              <w:rFonts w:ascii="宋体" w:hAnsi="宋体" w:eastAsia="宋体"/>
              <w:color w:val="FFFFFF" w:themeColor="background1"/>
              <w:sz w:val="21"/>
              <w14:textFill>
                <w14:solidFill>
                  <w14:schemeClr w14:val="bg1"/>
                </w14:solidFill>
              </w14:textFill>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sz w:val="21"/>
            </w:rPr>
            <mc:AlternateContent>
              <mc:Choice Requires="wps">
                <w:drawing>
                  <wp:anchor distT="0" distB="0" distL="114300" distR="114300" simplePos="0" relativeHeight="251670528" behindDoc="0" locked="0" layoutInCell="1" allowOverlap="1">
                    <wp:simplePos x="0" y="0"/>
                    <wp:positionH relativeFrom="column">
                      <wp:posOffset>232410</wp:posOffset>
                    </wp:positionH>
                    <wp:positionV relativeFrom="paragraph">
                      <wp:posOffset>13335</wp:posOffset>
                    </wp:positionV>
                    <wp:extent cx="568325" cy="1017270"/>
                    <wp:effectExtent l="4445" t="0" r="8255" b="6985"/>
                    <wp:wrapNone/>
                    <wp:docPr id="23" name="文本框 23"/>
                    <wp:cNvGraphicFramePr/>
                    <a:graphic xmlns:a="http://schemas.openxmlformats.org/drawingml/2006/main">
                      <a:graphicData uri="http://schemas.microsoft.com/office/word/2010/wordprocessingShape">
                        <wps:wsp>
                          <wps:cNvSpPr txBox="1"/>
                          <wps:spPr>
                            <a:xfrm>
                              <a:off x="1236980" y="1306830"/>
                              <a:ext cx="568325" cy="10172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wps:txbx>
                          <wps:bodyPr rot="0" spcFirstLastPara="0" vertOverflow="overflow" horzOverflow="overflow" vert="wordArt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pt;margin-top:1.05pt;height:80.1pt;width:44.75pt;z-index:251670528;mso-width-relative:page;mso-height-relative:page;" fillcolor="#FFFFFF [3201]" filled="t" stroked="t" coordsize="21600,21600" o:gfxdata="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mnL5LNkAAAAIAQAADwAA&#10;AAAAAAABACAAAAA4AAAAZHJzL2Rvd25yZXYueG1sUEsBAhQAFAAAAAgAh07iQMtUrnlxAgAA6gQA&#10;AA4AAAAAAAAAAQAgAAAAPgEAAGRycy9lMm9Eb2MueG1sUEsFBgAAAAAGAAYAWQEAACEGAAAAAA==&#10;">
                    <v:fill on="t" focussize="0,0"/>
                    <v:stroke weight="0.5pt" color="#000000 [3204]" opacity="0f" joinstyle="round"/>
                    <v:imagedata o:title=""/>
                    <o:lock v:ext="edit" aspectratio="f"/>
                    <v:textbox style="layout-flow:vertical;mso-layout-flow-alt:top-to-bottom;">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v:textbox>
                  </v:shape>
                </w:pict>
              </mc:Fallback>
            </mc:AlternateContent>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TOC \o "1-2" \h \u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_Toc2066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1</w:t>
          </w:r>
          <w:r>
            <w:rPr>
              <w:rFonts w:hint="eastAsia" w:ascii="微软雅黑" w:hAnsi="微软雅黑" w:eastAsia="微软雅黑" w:cs="微软雅黑"/>
              <w:b/>
              <w:bCs/>
              <w:color w:val="35699B"/>
              <w:kern w:val="44"/>
              <w:szCs w:val="70"/>
              <w:lang w:val="en-US" w:eastAsia="zh-CN" w:bidi="ar-SA"/>
            </w:rPr>
            <w:t xml:space="preserve"> - 检测概览</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_Toc2066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_Toc12667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样本信息</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_Toc12667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2</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_Toc19953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结果小结</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_Toc19953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2</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_Toc22256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2</w:t>
          </w:r>
          <w:r>
            <w:rPr>
              <w:rFonts w:hint="eastAsia" w:ascii="微软雅黑" w:hAnsi="微软雅黑" w:eastAsia="微软雅黑" w:cs="微软雅黑"/>
              <w:b/>
              <w:bCs/>
              <w:color w:val="35699B"/>
              <w:kern w:val="44"/>
              <w:szCs w:val="70"/>
              <w:lang w:val="en-US" w:eastAsia="zh-CN" w:bidi="ar-SA"/>
            </w:rPr>
            <w:t xml:space="preserve"> - 靶向药物用药评估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_Toc22256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3</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_Toc26494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基因检测结果详情</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_Toc26494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4</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_Toc7972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szCs w:val="2"/>
              <w:lang w:val="en-US" w:eastAsia="zh-CN"/>
            </w:rPr>
            <w:t>靶向治疗提示</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_Toc7972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5</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_Toc14448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体细胞变异基因及位点解析</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_Toc14448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6</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_Toc30535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重要靶向药物小结</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_Toc30535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7</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_Toc30783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3</w:t>
          </w:r>
          <w:r>
            <w:rPr>
              <w:rFonts w:hint="eastAsia" w:ascii="微软雅黑" w:hAnsi="微软雅黑" w:eastAsia="微软雅黑" w:cs="微软雅黑"/>
              <w:b/>
              <w:bCs/>
              <w:color w:val="35699B"/>
              <w:kern w:val="44"/>
              <w:szCs w:val="70"/>
              <w:lang w:val="en-US" w:eastAsia="zh-CN" w:bidi="ar-SA"/>
            </w:rPr>
            <w:t xml:space="preserve"> - 其他信息及说明</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_Toc30783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15</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_Toc25551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样本质控结果</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_Toc25551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16</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_Toc8420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检测方法</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_Toc8420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17</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_Toc18631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检测声明</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_Toc18631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17</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_Toc22633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报告审核</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_Toc22633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18</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_Toc26002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4</w:t>
          </w:r>
          <w:r>
            <w:rPr>
              <w:rFonts w:hint="eastAsia" w:ascii="微软雅黑" w:hAnsi="微软雅黑" w:eastAsia="微软雅黑" w:cs="微软雅黑"/>
              <w:b/>
              <w:bCs/>
              <w:color w:val="35699B"/>
              <w:kern w:val="44"/>
              <w:szCs w:val="70"/>
              <w:lang w:val="en-US" w:eastAsia="zh-CN" w:bidi="ar-SA"/>
            </w:rPr>
            <w:t xml:space="preserve"> - 附录</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_Toc26002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19</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_Toc21535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基因列表</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_Toc21535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20</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_Toc10186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基因注释</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_Toc10186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21</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520" w:firstLineChars="1200"/>
            <w:textAlignment w:val="auto"/>
            <w:rPr>
              <w:rFonts w:hint="eastAsia" w:ascii="微软雅黑" w:hAnsi="微软雅黑" w:eastAsia="微软雅黑" w:cs="微软雅黑"/>
              <w:b w:val="0"/>
              <w:bCs w:val="0"/>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HYPERLINK \l _Toc27265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kern w:val="0"/>
              <w:szCs w:val="2"/>
              <w:lang w:val="en-US" w:eastAsia="zh-CN"/>
            </w:rPr>
            <w:t>参考资料</w:t>
          </w:r>
          <w:r>
            <w:rPr>
              <w:rFonts w:hint="eastAsia" w:ascii="微软雅黑" w:hAnsi="微软雅黑" w:eastAsia="微软雅黑" w:cs="微软雅黑"/>
              <w:b w:val="0"/>
              <w:bCs w:val="0"/>
            </w:rPr>
            <w:tab/>
          </w: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PAGEREF _Toc27265 \h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 w:val="0"/>
              <w:bCs w:val="0"/>
            </w:rPr>
            <w:t>25</w:t>
          </w:r>
          <w:r>
            <w:rPr>
              <w:rFonts w:hint="eastAsia" w:ascii="微软雅黑" w:hAnsi="微软雅黑" w:eastAsia="微软雅黑" w:cs="微软雅黑"/>
              <w:b w:val="0"/>
              <w:bCs w:val="0"/>
            </w:rPr>
            <w:fldChar w:fldCharType="end"/>
          </w:r>
          <w:r>
            <w:rPr>
              <w:rFonts w:hint="eastAsia" w:ascii="微软雅黑" w:hAnsi="微软雅黑" w:eastAsia="微软雅黑" w:cs="微软雅黑"/>
              <w:b w:val="0"/>
              <w:bCs w:val="0"/>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firstLine="2102" w:firstLineChars="1000"/>
            <w:textAlignment w:val="auto"/>
            <w:rPr>
              <w:rFonts w:cs="Times New Roman"/>
            </w:rPr>
          </w:pPr>
          <w:r>
            <w:rPr>
              <w:rFonts w:hint="eastAsia" w:ascii="微软雅黑" w:hAnsi="微软雅黑" w:eastAsia="微软雅黑" w:cs="微软雅黑"/>
              <w:b/>
              <w:bCs/>
            </w:rPr>
            <w:fldChar w:fldCharType="end"/>
          </w:r>
        </w:p>
      </w:sdtContent>
    </w:sdt>
    <w:p>
      <w:pPr>
        <w:rPr>
          <w:rFonts w:cs="Times New Roman"/>
        </w:rPr>
      </w:pPr>
    </w:p>
    <w:p>
      <w:pPr>
        <w:rPr>
          <w:rFonts w:cs="Times New Roman"/>
        </w:rPr>
      </w:pPr>
    </w:p>
    <w:p>
      <w:pPr>
        <w:rPr>
          <w:rFonts w:cs="Times New Roman"/>
        </w:rPr>
      </w:pPr>
    </w:p>
    <w:p>
      <w:pPr>
        <w:rPr>
          <w:rFonts w:cs="Times New Roman"/>
        </w:rPr>
        <w:sectPr>
          <w:headerReference r:id="rId3" w:type="default"/>
          <w:footerReference r:id="rId4" w:type="default"/>
          <w:pgSz w:w="11906" w:h="16838"/>
          <w:pgMar w:top="1440" w:right="1440" w:bottom="1440" w:left="1440" w:header="850" w:footer="850" w:gutter="0"/>
          <w:pgNumType w:start="1"/>
          <w:cols w:space="0" w:num="1"/>
          <w:rtlGutter w:val="0"/>
          <w:docGrid w:linePitch="312" w:charSpace="0"/>
        </w:sectPr>
      </w:pPr>
    </w:p>
    <w:p>
      <w:pPr>
        <w:rPr>
          <w:rFonts w:cs="Times New Roman"/>
        </w:rPr>
      </w:pPr>
      <w:r>
        <w:rPr>
          <w:rFonts w:ascii="微软雅黑" w:hAnsi="微软雅黑" w:eastAsia="微软雅黑" w:cs="微软雅黑"/>
          <w:b/>
          <w:bCs/>
          <w:sz w:val="60"/>
          <w:szCs w:val="60"/>
        </w:rPr>
        <w:drawing>
          <wp:anchor distT="0" distB="0" distL="114300" distR="114300" simplePos="0" relativeHeight="251661312" behindDoc="1" locked="0" layoutInCell="1" allowOverlap="1">
            <wp:simplePos x="0" y="0"/>
            <wp:positionH relativeFrom="page">
              <wp:posOffset>-15875</wp:posOffset>
            </wp:positionH>
            <wp:positionV relativeFrom="paragraph">
              <wp:posOffset>-923290</wp:posOffset>
            </wp:positionV>
            <wp:extent cx="7578090" cy="10714990"/>
            <wp:effectExtent l="0" t="0" r="3810" b="635"/>
            <wp:wrapNone/>
            <wp:docPr id="83" name="图片 83"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keepNext w:val="0"/>
        <w:keepLines w:val="0"/>
        <w:pageBreakBefore w:val="0"/>
        <w:widowControl w:val="0"/>
        <w:kinsoku/>
        <w:wordWrap/>
        <w:overflowPunct/>
        <w:topLinePunct w:val="0"/>
        <w:autoSpaceDE/>
        <w:autoSpaceDN/>
        <w:bidi w:val="0"/>
        <w:adjustRightInd/>
        <w:snapToGrid/>
        <w:ind w:left="210" w:leftChars="100"/>
        <w:textAlignment w:val="auto"/>
        <w:outlineLvl w:val="0"/>
        <w:rPr>
          <w:rFonts w:hint="default" w:ascii="微软雅黑" w:hAnsi="微软雅黑" w:eastAsia="微软雅黑" w:cs="微软雅黑"/>
          <w:b/>
          <w:bCs/>
          <w:color w:val="35699B"/>
          <w:kern w:val="44"/>
          <w:sz w:val="70"/>
          <w:szCs w:val="70"/>
          <w:lang w:val="en-US" w:eastAsia="zh-CN" w:bidi="ar-SA"/>
        </w:rPr>
      </w:pPr>
      <w:bookmarkStart w:id="0" w:name="_Toc2066"/>
      <w:bookmarkStart w:id="1" w:name="_Toc31492"/>
      <w:r>
        <w:rPr>
          <w:rFonts w:hint="eastAsia" w:ascii="微软雅黑" w:hAnsi="微软雅黑" w:eastAsia="微软雅黑" w:cs="微软雅黑"/>
          <w:b w:val="0"/>
          <w:bCs w:val="0"/>
          <w:color w:val="35699B"/>
          <w:kern w:val="44"/>
          <w:sz w:val="200"/>
          <w:szCs w:val="200"/>
          <w:lang w:val="en-US" w:eastAsia="zh-CN" w:bidi="ar-SA"/>
        </w:rPr>
        <w:t>1</w:t>
      </w:r>
      <w:r>
        <w:rPr>
          <w:rFonts w:hint="eastAsia" w:ascii="微软雅黑" w:hAnsi="微软雅黑" w:eastAsia="微软雅黑" w:cs="微软雅黑"/>
          <w:b/>
          <w:bCs/>
          <w:color w:val="35699B"/>
          <w:kern w:val="44"/>
          <w:sz w:val="70"/>
          <w:szCs w:val="70"/>
          <w:lang w:val="en-US" w:eastAsia="zh-CN" w:bidi="ar-SA"/>
        </w:rPr>
        <w:t xml:space="preserve"> - 检测概览</w:t>
      </w:r>
      <w:bookmarkEnd w:id="0"/>
      <w:bookmarkEnd w:id="1"/>
    </w:p>
    <w:p>
      <w:pPr>
        <w:rPr>
          <w:rFonts w:cs="Times New Roman"/>
        </w:rPr>
      </w:pPr>
    </w:p>
    <w:p>
      <w:pPr>
        <w:rPr>
          <w:rFonts w:ascii="微软雅黑" w:hAnsi="微软雅黑" w:eastAsia="微软雅黑" w:cs="微软雅黑"/>
          <w:sz w:val="22"/>
          <w:szCs w:val="22"/>
        </w:rPr>
      </w:pPr>
      <w:r>
        <w:rPr>
          <w:rFonts w:ascii="微软雅黑" w:hAnsi="微软雅黑" w:eastAsia="微软雅黑" w:cs="微软雅黑"/>
          <w:sz w:val="22"/>
          <w:szCs w:val="22"/>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Times New Roman" w:eastAsiaTheme="majorEastAsia"/>
          <w:b/>
          <w:color w:val="FFFFFF" w:themeColor="background1"/>
          <w:kern w:val="0"/>
          <w:position w:val="-6"/>
          <w:sz w:val="2"/>
          <w:szCs w:val="2"/>
          <w:lang w:val="en-US" w:eastAsia="zh-CN"/>
          <w14:textFill>
            <w14:solidFill>
              <w14:schemeClr w14:val="bg1"/>
            </w14:solidFill>
          </w14:textFill>
        </w:rPr>
      </w:pPr>
      <w:bookmarkStart w:id="2" w:name="_Toc12667"/>
      <w:bookmarkStart w:id="3" w:name="_Toc364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0"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WbZbHSAAAABAEA&#10;AA8AAAAAAAAAAQAgAAAAOAAAAGRycy9kb3ducmV2LnhtbFBLAQIUABQAAAAIAIdO4kA7qn08fAIA&#10;AOUEAAAOAAAAAAAAAAEAIAAAADcBAABkcnMvZTJvRG9jLnhtbFBLBQYAAAAABgAGAFkBAAAlBgAA&#10;AAA=&#10;">
                <v:fill on="t" focussize="0,0"/>
                <v:stroke on="f" weight="1pt" miterlimit="8" joinstyle="miter"/>
                <v:imagedata o:title=""/>
                <o:lock v:ext="edit" aspectratio="f"/>
                <v:textbo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bookmarkEnd w:id="2"/>
      <w:bookmarkEnd w:id="3"/>
    </w:p>
    <w:tbl>
      <w:tblPr>
        <w:tblStyle w:val="9"/>
        <w:tblW w:w="5000" w:type="pct"/>
        <w:jc w:val="center"/>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Layout w:type="autofit"/>
        <w:tblCellMar>
          <w:top w:w="0" w:type="dxa"/>
          <w:left w:w="108" w:type="dxa"/>
          <w:bottom w:w="0" w:type="dxa"/>
          <w:right w:w="108" w:type="dxa"/>
        </w:tblCellMar>
      </w:tblPr>
      <w:tblGrid>
        <w:gridCol w:w="1300"/>
        <w:gridCol w:w="2341"/>
        <w:gridCol w:w="1302"/>
        <w:gridCol w:w="1433"/>
        <w:gridCol w:w="1200"/>
        <w:gridCol w:w="1450"/>
      </w:tblGrid>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tblHeader/>
          <w:jc w:val="center"/>
        </w:trPr>
        <w:tc>
          <w:tcPr>
            <w:tcW w:w="5000" w:type="pct"/>
            <w:gridSpan w:val="6"/>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等线" w:hAnsi="等线" w:eastAsia="等线" w:cs="等线"/>
                <w:kern w:val="0"/>
                <w:sz w:val="22"/>
                <w:szCs w:val="22"/>
              </w:rPr>
            </w:pPr>
            <w:r>
              <w:rPr>
                <w:rFonts w:hint="eastAsia" w:ascii="微软雅黑" w:hAnsi="微软雅黑" w:eastAsia="微软雅黑" w:cs="微软雅黑"/>
                <w:b/>
                <w:color w:val="000000"/>
                <w:kern w:val="0"/>
                <w:sz w:val="22"/>
                <w:szCs w:val="22"/>
              </w:rPr>
              <w:t>基本信息</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姓名</w:t>
            </w:r>
          </w:p>
        </w:tc>
        <w:tc>
          <w:tcPr>
            <w:tcW w:w="1297"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 w:name="name"/>
            <w:r>
              <w:rPr>
                <w:rFonts w:hint="eastAsia" w:ascii="微软雅黑" w:hAnsi="微软雅黑" w:eastAsia="微软雅黑" w:cs="微软雅黑"/>
                <w:kern w:val="0"/>
                <w:sz w:val="20"/>
                <w:szCs w:val="20"/>
              </w:rPr>
              <w:t>n</w:t>
            </w:r>
            <w:r>
              <w:rPr>
                <w:rFonts w:ascii="微软雅黑" w:hAnsi="微软雅黑" w:eastAsia="微软雅黑" w:cs="微软雅黑"/>
                <w:kern w:val="0"/>
                <w:sz w:val="20"/>
                <w:szCs w:val="20"/>
              </w:rPr>
              <w:t>ame</w:t>
            </w:r>
            <w:bookmarkEnd w:id="4"/>
          </w:p>
        </w:tc>
        <w:tc>
          <w:tcPr>
            <w:tcW w:w="721"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性别</w:t>
            </w:r>
          </w:p>
        </w:tc>
        <w:tc>
          <w:tcPr>
            <w:tcW w:w="79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5" w:name="sex"/>
            <w:r>
              <w:rPr>
                <w:rFonts w:hint="eastAsia" w:ascii="微软雅黑" w:hAnsi="微软雅黑" w:eastAsia="微软雅黑" w:cs="微软雅黑"/>
                <w:kern w:val="0"/>
                <w:sz w:val="20"/>
                <w:szCs w:val="20"/>
              </w:rPr>
              <w:t>s</w:t>
            </w:r>
            <w:r>
              <w:rPr>
                <w:rFonts w:ascii="微软雅黑" w:hAnsi="微软雅黑" w:eastAsia="微软雅黑" w:cs="微软雅黑"/>
                <w:kern w:val="0"/>
                <w:sz w:val="20"/>
                <w:szCs w:val="20"/>
              </w:rPr>
              <w:t>ex</w:t>
            </w:r>
            <w:bookmarkEnd w:id="5"/>
          </w:p>
        </w:tc>
        <w:tc>
          <w:tcPr>
            <w:tcW w:w="665"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b/>
                <w:bCs/>
                <w:kern w:val="0"/>
                <w:sz w:val="20"/>
                <w:szCs w:val="20"/>
              </w:rPr>
              <w:t>年龄</w:t>
            </w:r>
          </w:p>
        </w:tc>
        <w:tc>
          <w:tcPr>
            <w:tcW w:w="801" w:type="pct"/>
            <w:tcBorders>
              <w:top w:val="nil"/>
              <w:bottom w:val="single" w:color="E6E6E6"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6" w:name="age"/>
            <w:r>
              <w:rPr>
                <w:rFonts w:hint="eastAsia" w:ascii="微软雅黑" w:hAnsi="微软雅黑" w:eastAsia="微软雅黑" w:cs="微软雅黑"/>
                <w:kern w:val="0"/>
                <w:sz w:val="20"/>
                <w:szCs w:val="20"/>
              </w:rPr>
              <w:t>a</w:t>
            </w:r>
            <w:r>
              <w:rPr>
                <w:rFonts w:ascii="微软雅黑" w:hAnsi="微软雅黑" w:eastAsia="微软雅黑" w:cs="微软雅黑"/>
                <w:kern w:val="0"/>
                <w:sz w:val="20"/>
                <w:szCs w:val="20"/>
              </w:rPr>
              <w:t>ge</w:t>
            </w:r>
            <w:bookmarkEnd w:id="6"/>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医院</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receive</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日期</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hospital</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临床诊断</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7" w:name="diagnosis"/>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iagnosis</w:t>
            </w:r>
            <w:bookmarkEnd w:id="7"/>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送检项目</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8" w:name="item"/>
            <w:r>
              <w:rPr>
                <w:rFonts w:ascii="微软雅黑" w:hAnsi="微软雅黑" w:eastAsia="微软雅黑" w:cs="微软雅黑"/>
                <w:kern w:val="0"/>
                <w:sz w:val="20"/>
                <w:szCs w:val="20"/>
              </w:rPr>
              <w:t>item</w:t>
            </w:r>
            <w:bookmarkEnd w:id="8"/>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样本编号</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9" w:name="id"/>
            <w:r>
              <w:rPr>
                <w:rFonts w:ascii="微软雅黑" w:hAnsi="微软雅黑" w:eastAsia="微软雅黑" w:cs="微软雅黑"/>
                <w:kern w:val="0"/>
                <w:sz w:val="20"/>
                <w:szCs w:val="20"/>
              </w:rPr>
              <w:t>id</w:t>
            </w:r>
            <w:bookmarkEnd w:id="9"/>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0" w:name="type"/>
            <w:r>
              <w:rPr>
                <w:rFonts w:ascii="微软雅黑" w:hAnsi="微软雅黑" w:eastAsia="微软雅黑" w:cs="微软雅黑"/>
                <w:kern w:val="0"/>
                <w:sz w:val="20"/>
                <w:szCs w:val="20"/>
              </w:rPr>
              <w:t>type</w:t>
            </w:r>
            <w:bookmarkEnd w:id="10"/>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用药史</w:t>
            </w:r>
          </w:p>
        </w:tc>
        <w:tc>
          <w:tcPr>
            <w:tcW w:w="4279" w:type="pct"/>
            <w:gridSpan w:val="5"/>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1" w:name="history"/>
            <w:r>
              <w:rPr>
                <w:rFonts w:ascii="微软雅黑" w:hAnsi="微软雅黑" w:eastAsia="微软雅黑" w:cs="微软雅黑"/>
                <w:kern w:val="0"/>
                <w:sz w:val="20"/>
                <w:szCs w:val="20"/>
              </w:rPr>
              <w:t>history</w:t>
            </w:r>
            <w:bookmarkEnd w:id="11"/>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12" w:name="_Toc19953"/>
      <w:bookmarkStart w:id="13" w:name="_Toc1166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1"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ZtlsdIAAAAEAQAA&#10;DwAAAAAAAAABACAAAAA4AAAAZHJzL2Rvd25yZXYueG1sUEsBAhQAFAAAAAgAh07iQJyflxl7AgAA&#10;5Q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结果小结</w:t>
      </w:r>
      <w:bookmarkEnd w:id="12"/>
      <w:bookmarkEnd w:id="13"/>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98"/>
        <w:gridCol w:w="2186"/>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5000" w:type="pct"/>
            <w:gridSpan w:val="3"/>
            <w:tcBorders>
              <w:top w:val="nil"/>
              <w:left w:val="nil"/>
              <w:bottom w:val="nil"/>
              <w:right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靶向药治疗疗效评估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项目</w:t>
            </w:r>
          </w:p>
        </w:tc>
        <w:tc>
          <w:tcPr>
            <w:tcW w:w="4280" w:type="pct"/>
            <w:gridSpan w:val="2"/>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检测结果及简易解读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结果统计</w:t>
            </w:r>
          </w:p>
        </w:tc>
        <w:tc>
          <w:tcPr>
            <w:tcW w:w="4280" w:type="pct"/>
            <w:gridSpan w:val="2"/>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检出</w:t>
            </w:r>
            <w:bookmarkStart w:id="14" w:name="pathogenic"/>
            <w:r>
              <w:rPr>
                <w:rFonts w:hint="eastAsia" w:ascii="微软雅黑" w:hAnsi="微软雅黑" w:eastAsia="微软雅黑" w:cs="微软雅黑"/>
                <w:b/>
                <w:bCs/>
                <w:color w:val="FF0000"/>
                <w:kern w:val="0"/>
                <w:sz w:val="20"/>
                <w:szCs w:val="20"/>
              </w:rPr>
              <w:t>p</w:t>
            </w:r>
            <w:r>
              <w:rPr>
                <w:rFonts w:ascii="微软雅黑" w:hAnsi="微软雅黑" w:eastAsia="微软雅黑" w:cs="微软雅黑"/>
                <w:b/>
                <w:bCs/>
                <w:color w:val="FF0000"/>
                <w:kern w:val="0"/>
                <w:sz w:val="20"/>
                <w:szCs w:val="20"/>
              </w:rPr>
              <w:t>athogenic</w:t>
            </w:r>
            <w:bookmarkEnd w:id="14"/>
            <w:r>
              <w:rPr>
                <w:rFonts w:hint="eastAsia" w:ascii="微软雅黑" w:hAnsi="微软雅黑" w:eastAsia="微软雅黑" w:cs="微软雅黑"/>
                <w:kern w:val="0"/>
                <w:sz w:val="20"/>
                <w:szCs w:val="20"/>
              </w:rPr>
              <w:t>个Ⅰ类致病/Ⅱ类可能致病突变，</w:t>
            </w:r>
            <w:bookmarkStart w:id="15" w:name="unknown"/>
            <w:r>
              <w:rPr>
                <w:rFonts w:ascii="微软雅黑" w:hAnsi="微软雅黑" w:eastAsia="微软雅黑" w:cs="微软雅黑"/>
                <w:kern w:val="0"/>
                <w:sz w:val="20"/>
                <w:szCs w:val="20"/>
              </w:rPr>
              <w:t>unknown</w:t>
            </w:r>
            <w:bookmarkEnd w:id="15"/>
            <w:r>
              <w:rPr>
                <w:rFonts w:hint="eastAsia" w:ascii="微软雅黑" w:hAnsi="微软雅黑" w:eastAsia="微软雅黑" w:cs="微软雅黑"/>
                <w:kern w:val="0"/>
                <w:sz w:val="20"/>
                <w:szCs w:val="20"/>
              </w:rPr>
              <w:t>个Ⅲ类临床意义不明突变。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single" w:color="F1F1F1" w:themeColor="background1" w:themeShade="F2" w:sz="4" w:space="0"/>
              <w:left w:val="nil"/>
              <w:bottom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主要突变</w:t>
            </w:r>
          </w:p>
        </w:tc>
        <w:tc>
          <w:tcPr>
            <w:tcW w:w="4280" w:type="pct"/>
            <w:gridSpan w:val="2"/>
            <w:tcBorders>
              <w:top w:val="single" w:color="D8D8D8" w:themeColor="background1" w:themeShade="D9" w:sz="4" w:space="0"/>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6" w:name="mutation"/>
            <w:r>
              <w:rPr>
                <w:rFonts w:hint="eastAsia" w:ascii="微软雅黑" w:hAnsi="微软雅黑" w:eastAsia="微软雅黑" w:cs="微软雅黑"/>
                <w:color w:val="000000"/>
                <w:sz w:val="20"/>
                <w:szCs w:val="20"/>
              </w:rPr>
              <w:t>mutation</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719" w:type="pct"/>
            <w:vMerge w:val="restart"/>
            <w:tcBorders>
              <w:top w:val="nil"/>
              <w:left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用药提示</w:t>
            </w:r>
          </w:p>
        </w:tc>
        <w:tc>
          <w:tcPr>
            <w:tcW w:w="1211"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敏感/可能敏感药物：</w:t>
            </w:r>
          </w:p>
        </w:tc>
        <w:tc>
          <w:tcPr>
            <w:tcW w:w="3068"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7" w:name="sensedrug"/>
            <w:r>
              <w:rPr>
                <w:rFonts w:ascii="微软雅黑" w:hAnsi="微软雅黑" w:eastAsia="微软雅黑" w:cs="微软雅黑"/>
                <w:kern w:val="0"/>
                <w:sz w:val="20"/>
                <w:szCs w:val="20"/>
              </w:rPr>
              <w:t>sense</w:t>
            </w: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rug</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719" w:type="pct"/>
            <w:vMerge w:val="continue"/>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p>
        </w:tc>
        <w:tc>
          <w:tcPr>
            <w:tcW w:w="1211"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耐药/可能耐药药物：</w:t>
            </w:r>
          </w:p>
        </w:tc>
        <w:tc>
          <w:tcPr>
            <w:tcW w:w="3068"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8" w:name="resisdrug"/>
            <w:r>
              <w:rPr>
                <w:rFonts w:hint="eastAsia" w:ascii="微软雅黑" w:hAnsi="微软雅黑" w:eastAsia="微软雅黑" w:cs="微软雅黑"/>
                <w:kern w:val="0"/>
                <w:sz w:val="20"/>
                <w:szCs w:val="20"/>
              </w:rPr>
              <w:t>r</w:t>
            </w:r>
            <w:r>
              <w:rPr>
                <w:rFonts w:ascii="微软雅黑" w:hAnsi="微软雅黑" w:eastAsia="微软雅黑" w:cs="微软雅黑"/>
                <w:kern w:val="0"/>
                <w:sz w:val="20"/>
                <w:szCs w:val="20"/>
              </w:rPr>
              <w:t>esisdrug</w:t>
            </w:r>
            <w:bookmarkEnd w:id="18"/>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药物敏感性证据分级：</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-A级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A1级：NMPA、FDA或其他国家药监部门批准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A2级：专业临床指南（如CSCO诊疗指南、NCCN临床实践指南）推荐</w:t>
      </w:r>
    </w:p>
    <w:p>
      <w:pPr>
        <w:autoSpaceDE w:val="0"/>
        <w:autoSpaceDN w:val="0"/>
        <w:adjustRightInd w:val="0"/>
        <w:snapToGrid w:val="0"/>
        <w:spacing w:line="264" w:lineRule="auto"/>
        <w:ind w:left="897" w:leftChars="170" w:hanging="540" w:hangingChars="300"/>
        <w:jc w:val="left"/>
        <w:rPr>
          <w:rFonts w:ascii="宋体" w:hAnsi="宋体" w:eastAsia="宋体" w:cs="宋体"/>
          <w:color w:val="2F2F2F"/>
          <w:sz w:val="18"/>
          <w:szCs w:val="18"/>
        </w:rPr>
      </w:pPr>
      <w:r>
        <w:rPr>
          <w:rFonts w:hint="eastAsia" w:ascii="宋体" w:hAnsi="宋体" w:eastAsia="宋体" w:cs="宋体"/>
          <w:color w:val="2F2F2F"/>
          <w:sz w:val="18"/>
          <w:szCs w:val="18"/>
        </w:rPr>
        <w:t>-B级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经具有统计学效能的临床研究（如：拟用于注册申请的关键临床研究、基于该分子标志物入组的Ⅱ/Ⅲ期临床研究）证实、获得该领域专家共识（如IASLC检测手册）</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-C级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C1级：多项小型临床研究支持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C2级：已作为当前临床研究的入组标准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C3级：其他癌种的A级证据（跨适应证用药）</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-D级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D1级：疗效获益的临床病例报道支持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D2级：临床前证据支持</w:t>
      </w:r>
    </w:p>
    <w:p>
      <w:pPr>
        <w:autoSpaceDE w:val="0"/>
        <w:autoSpaceDN w:val="0"/>
        <w:adjustRightInd w:val="0"/>
        <w:snapToGrid w:val="0"/>
        <w:spacing w:before="120" w:beforeLines="50" w:after="120" w:afterLines="50" w:line="288" w:lineRule="auto"/>
        <w:ind w:firstLine="400" w:firstLineChars="2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2576"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0" name="图片 10"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微软雅黑" w:hAnsi="微软雅黑" w:eastAsia="微软雅黑" w:cs="微软雅黑"/>
          <w:b/>
          <w:bCs/>
          <w:color w:val="35699B"/>
          <w:kern w:val="44"/>
          <w:sz w:val="70"/>
          <w:szCs w:val="70"/>
          <w:lang w:val="en-US" w:eastAsia="zh-CN" w:bidi="ar-SA"/>
        </w:rPr>
      </w:pPr>
      <w:bookmarkStart w:id="19" w:name="_Toc4746"/>
      <w:bookmarkStart w:id="20" w:name="_Toc22256"/>
      <w:r>
        <w:rPr>
          <w:rFonts w:hint="eastAsia"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62336"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06" name="图片 10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2</w:t>
      </w:r>
      <w:r>
        <w:rPr>
          <w:rFonts w:hint="eastAsia" w:ascii="微软雅黑" w:hAnsi="微软雅黑" w:eastAsia="微软雅黑" w:cs="微软雅黑"/>
          <w:b/>
          <w:bCs/>
          <w:color w:val="35699B"/>
          <w:kern w:val="44"/>
          <w:sz w:val="70"/>
          <w:szCs w:val="70"/>
          <w:lang w:val="en-US" w:eastAsia="zh-CN" w:bidi="ar-SA"/>
        </w:rPr>
        <w:t xml:space="preserve"> - 靶向药物用药评估</w:t>
      </w:r>
      <w:bookmarkEnd w:id="19"/>
      <w:bookmarkEnd w:id="20"/>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eastAsia="zh-CN"/>
        </w:rPr>
      </w:pPr>
      <w:bookmarkStart w:id="21" w:name="_Toc26494"/>
      <w:bookmarkStart w:id="22" w:name="_Toc2888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33855" cy="413385"/>
                <wp:effectExtent l="0" t="0" r="4445" b="5715"/>
                <wp:docPr id="7" name="矩形 12"/>
                <wp:cNvGraphicFramePr/>
                <a:graphic xmlns:a="http://schemas.openxmlformats.org/drawingml/2006/main">
                  <a:graphicData uri="http://schemas.microsoft.com/office/word/2010/wordprocessingShape">
                    <wps:wsp>
                      <wps:cNvSpPr/>
                      <wps:spPr>
                        <a:xfrm>
                          <a:off x="0" y="0"/>
                          <a:ext cx="16340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8.65pt;v-text-anchor:middle;" fillcolor="#35699B" filled="t" stroked="f" coordsize="21600,21600" o:gfxdata="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AOq7mNQAAAAE&#10;AQAADwAAAAAAAAABACAAAAA4AAAAZHJzL2Rvd25yZXYueG1sUEsBAhQAFAAAAAgAh07iQPICGGF8&#10;AgAA5QQAAA4AAAAAAAAAAQAgAAAAOQEAAGRycy9lMm9Eb2MueG1sUEsFBgAAAAAGAAYAWQEAACcG&#10;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基因检测结果详情</w:t>
      </w:r>
      <w:bookmarkEnd w:id="21"/>
      <w:bookmarkEnd w:id="22"/>
    </w:p>
    <w:tbl>
      <w:tblPr>
        <w:tblStyle w:val="9"/>
        <w:tblW w:w="4998" w:type="pct"/>
        <w:jc w:val="center"/>
        <w:tblLayout w:type="autofit"/>
        <w:tblCellMar>
          <w:top w:w="0" w:type="dxa"/>
          <w:left w:w="108" w:type="dxa"/>
          <w:bottom w:w="0" w:type="dxa"/>
          <w:right w:w="108" w:type="dxa"/>
        </w:tblCellMar>
      </w:tblPr>
      <w:tblGrid>
        <w:gridCol w:w="2276"/>
        <w:gridCol w:w="2766"/>
        <w:gridCol w:w="3980"/>
      </w:tblGrid>
      <w:tr>
        <w:trPr>
          <w:cantSplit/>
          <w:tblHeader/>
          <w:jc w:val="center"/>
        </w:trPr>
        <w:tc>
          <w:tcPr>
            <w:tcW w:w="1261"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基因</w:t>
            </w:r>
          </w:p>
        </w:tc>
        <w:tc>
          <w:tcPr>
            <w:tcW w:w="1532"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检测内容</w:t>
            </w:r>
          </w:p>
        </w:tc>
        <w:tc>
          <w:tcPr>
            <w:tcW w:w="2205"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检测结果（</w:t>
            </w:r>
            <w:r>
              <w:rPr>
                <w:rFonts w:hint="eastAsia" w:ascii="微软雅黑" w:hAnsi="微软雅黑" w:eastAsia="微软雅黑" w:cs="微软雅黑"/>
                <w:b/>
                <w:color w:val="000000"/>
                <w:sz w:val="22"/>
                <w:szCs w:val="22"/>
              </w:rPr>
              <w:t>仅显示致病/可能致病变异</w:t>
            </w:r>
            <w:r>
              <w:rPr>
                <w:rFonts w:ascii="微软雅黑" w:hAnsi="微软雅黑" w:eastAsia="微软雅黑" w:cs="微软雅黑"/>
                <w:b/>
                <w:color w:val="000000"/>
                <w:sz w:val="22"/>
                <w:szCs w:val="22"/>
              </w:rPr>
              <w:t>）</w:t>
            </w:r>
          </w:p>
        </w:tc>
      </w:tr>
      <w:tr>
        <w:trPr>
          <w:cantSplit/>
          <w:jc w:val="center"/>
        </w:trPr>
        <w:tc>
          <w:tcPr>
            <w:tcW w:w="1261"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ALK</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重排</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AKT1</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B</w:t>
            </w:r>
            <w:r>
              <w:rPr>
                <w:rFonts w:ascii="微软雅黑" w:hAnsi="微软雅黑" w:eastAsia="微软雅黑" w:cs="微软雅黑"/>
                <w:color w:val="000000"/>
                <w:sz w:val="20"/>
                <w:szCs w:val="20"/>
              </w:rPr>
              <w:t>RAF</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突变（包括V</w:t>
            </w:r>
            <w:r>
              <w:rPr>
                <w:rFonts w:ascii="微软雅黑" w:hAnsi="微软雅黑" w:eastAsia="微软雅黑" w:cs="微软雅黑"/>
                <w:color w:val="000000"/>
                <w:sz w:val="20"/>
                <w:szCs w:val="20"/>
              </w:rPr>
              <w:t>600E</w:t>
            </w:r>
            <w:r>
              <w:rPr>
                <w:rFonts w:hint="eastAsia" w:ascii="微软雅黑" w:hAnsi="微软雅黑" w:eastAsia="微软雅黑" w:cs="微软雅黑"/>
                <w:color w:val="000000"/>
                <w:sz w:val="20"/>
                <w:szCs w:val="20"/>
              </w:rPr>
              <w:t>）</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BCL2L11（BIM）</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vMerge w:val="restart"/>
            <w:tcBorders>
              <w:top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EGFR</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外显子18</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外显子19</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外显子20（包括T790M）</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外显子21</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vMerge w:val="continue"/>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lang w:val="en-US" w:eastAsia="zh-Hans"/>
              </w:rPr>
            </w:pPr>
            <w:r>
              <w:rPr>
                <w:rFonts w:hint="eastAsia" w:ascii="微软雅黑" w:hAnsi="微软雅黑" w:eastAsia="微软雅黑" w:cs="微软雅黑"/>
                <w:color w:val="000000"/>
                <w:sz w:val="20"/>
                <w:szCs w:val="20"/>
                <w:lang w:val="en-US" w:eastAsia="zh-Hans"/>
              </w:rPr>
              <w:t>其它</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ERBB2(HER2)</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扩增</w:t>
            </w:r>
          </w:p>
        </w:tc>
        <w:tc>
          <w:tcPr>
            <w:tcW w:w="220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KRAS</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突变（包括G</w:t>
            </w:r>
            <w:r>
              <w:rPr>
                <w:rFonts w:ascii="微软雅黑" w:hAnsi="微软雅黑" w:eastAsia="微软雅黑" w:cs="微软雅黑"/>
                <w:color w:val="000000"/>
                <w:sz w:val="20"/>
                <w:szCs w:val="20"/>
              </w:rPr>
              <w:t>12</w:t>
            </w:r>
            <w:r>
              <w:rPr>
                <w:rFonts w:hint="eastAsia" w:ascii="微软雅黑" w:hAnsi="微软雅黑" w:eastAsia="微软雅黑" w:cs="微软雅黑"/>
                <w:color w:val="000000"/>
                <w:sz w:val="20"/>
                <w:szCs w:val="20"/>
              </w:rPr>
              <w:t>/G</w:t>
            </w:r>
            <w:r>
              <w:rPr>
                <w:rFonts w:ascii="微软雅黑" w:hAnsi="微软雅黑" w:eastAsia="微软雅黑" w:cs="微软雅黑"/>
                <w:color w:val="000000"/>
                <w:sz w:val="20"/>
                <w:szCs w:val="20"/>
              </w:rPr>
              <w:t>13</w:t>
            </w:r>
            <w:r>
              <w:rPr>
                <w:rFonts w:hint="eastAsia" w:ascii="微软雅黑" w:hAnsi="微软雅黑" w:eastAsia="微软雅黑" w:cs="微软雅黑"/>
                <w:color w:val="000000"/>
                <w:sz w:val="20"/>
                <w:szCs w:val="20"/>
              </w:rPr>
              <w:t>）</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MAP2K1(MEK1)</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auto"/>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MET</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外显子14跳跃突变</w:t>
            </w:r>
            <w:r>
              <w:rPr>
                <w:rFonts w:hint="eastAsia" w:ascii="微软雅黑" w:hAnsi="微软雅黑" w:eastAsia="微软雅黑" w:cs="微软雅黑"/>
                <w:color w:val="000000"/>
                <w:sz w:val="20"/>
                <w:szCs w:val="20"/>
              </w:rPr>
              <w:t>、</w:t>
            </w:r>
            <w:r>
              <w:rPr>
                <w:rFonts w:ascii="微软雅黑" w:hAnsi="微软雅黑" w:eastAsia="微软雅黑" w:cs="微软雅黑"/>
                <w:color w:val="000000"/>
                <w:sz w:val="20"/>
                <w:szCs w:val="20"/>
              </w:rPr>
              <w:t>扩增</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PIK3CA</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auto"/>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PTEN</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NTRK1</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5" w:type="pct"/>
            <w:tcBorders>
              <w:left w:val="single" w:color="FFFFFF" w:sz="4" w:space="0"/>
            </w:tcBorders>
            <w:shd w:val="clear" w:color="auto" w:fill="auto"/>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NTRK2</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NTRK3</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5" w:type="pct"/>
            <w:tcBorders>
              <w:left w:val="single" w:color="FFFFFF" w:sz="4" w:space="0"/>
            </w:tcBorders>
            <w:shd w:val="clear" w:color="auto" w:fill="auto"/>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NRAS</w:t>
            </w:r>
          </w:p>
        </w:tc>
        <w:tc>
          <w:tcPr>
            <w:tcW w:w="1532"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5" w:type="pct"/>
            <w:tcBorders>
              <w:left w:val="single" w:color="FFFFFF"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RET</w:t>
            </w:r>
          </w:p>
        </w:tc>
        <w:tc>
          <w:tcPr>
            <w:tcW w:w="1532"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5" w:type="pct"/>
            <w:tcBorders>
              <w:left w:val="single" w:color="FFFFFF" w:sz="4" w:space="0"/>
            </w:tcBorders>
            <w:shd w:val="clear" w:color="auto" w:fill="auto"/>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26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ROS1</w:t>
            </w:r>
          </w:p>
        </w:tc>
        <w:tc>
          <w:tcPr>
            <w:tcW w:w="1532" w:type="pct"/>
            <w:tcBorders>
              <w:left w:val="single" w:color="F2F2F2" w:sz="4" w:space="0"/>
              <w:bottom w:val="single" w:color="E6E6E6"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5" w:type="pct"/>
            <w:tcBorders>
              <w:left w:val="single" w:color="FFFFFF" w:sz="4" w:space="0"/>
              <w:bottom w:val="single" w:color="E6E6E6" w:sz="4" w:space="0"/>
            </w:tcBorders>
            <w:shd w:val="clear" w:color="auto" w:fill="F1F1F1" w:themeFill="background1" w:themeFillShade="F2"/>
            <w:tcMar>
              <w:top w:w="0" w:type="dxa"/>
              <w:left w:w="0" w:type="dxa"/>
              <w:bottom w:w="0" w:type="dxa"/>
              <w:right w:w="0" w:type="dxa"/>
            </w:tcMar>
          </w:tcPr>
          <w:p>
            <w:pPr>
              <w:spacing w:before="80" w:after="80"/>
              <w:jc w:val="center"/>
            </w:pPr>
            <w:r>
              <w:rPr>
                <w:rFonts w:hint="eastAsia" w:ascii="微软雅黑" w:hAnsi="微软雅黑" w:eastAsia="微软雅黑" w:cs="微软雅黑"/>
                <w:color w:val="000000"/>
                <w:sz w:val="20"/>
                <w:szCs w:val="20"/>
              </w:rPr>
              <w:t>野生型/未检出</w:t>
            </w:r>
          </w:p>
        </w:tc>
      </w:tr>
    </w:tbl>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pStyle w:val="16"/>
        <w:numPr>
          <w:ilvl w:val="0"/>
          <w:numId w:val="1"/>
        </w:numPr>
        <w:ind w:left="170" w:hanging="170" w:firstLineChars="0"/>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hint="eastAsia" w:ascii="Times New Roman" w:hAnsi="Times New Roman" w:eastAsia="宋体" w:cs="Times New Roman"/>
          <w:sz w:val="20"/>
          <w:szCs w:val="20"/>
        </w:rPr>
        <w:t>检测结果为野生型/未检出，提示</w:t>
      </w:r>
      <w:r>
        <w:rPr>
          <w:rFonts w:ascii="Times New Roman" w:hAnsi="Times New Roman" w:eastAsia="宋体" w:cs="Times New Roman"/>
          <w:sz w:val="20"/>
          <w:szCs w:val="20"/>
        </w:rPr>
        <w:t>本次检测未发现</w:t>
      </w:r>
      <w:r>
        <w:rPr>
          <w:rFonts w:hint="eastAsia" w:ascii="Times New Roman" w:hAnsi="Times New Roman" w:eastAsia="宋体" w:cs="Times New Roman"/>
          <w:sz w:val="20"/>
          <w:szCs w:val="20"/>
        </w:rPr>
        <w:t>对应基因存在致病/可能致病变异。其他情况表明基因检出变</w:t>
      </w:r>
      <w:r>
        <w:rPr>
          <w:rFonts w:hint="eastAsia"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异，见后续的靶向治疗提示和</w:t>
      </w: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临床解读。</w:t>
      </w:r>
    </w:p>
    <w:p>
      <w:pPr>
        <w:widowControl/>
        <w:jc w:val="left"/>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inorEastAsia"/>
          <w:color w:val="FFFFFF" w:themeColor="background1"/>
          <w:kern w:val="0"/>
          <w:sz w:val="24"/>
          <w:lang w:val="en-US" w:eastAsia="zh-CN"/>
          <w14:textFill>
            <w14:solidFill>
              <w14:schemeClr w14:val="bg1"/>
            </w14:solidFill>
          </w14:textFill>
        </w:rPr>
      </w:pPr>
      <w:bookmarkStart w:id="23" w:name="_Toc7972"/>
      <w:bookmarkStart w:id="24" w:name="_Toc27601"/>
      <w:r>
        <w:rPr>
          <w:rFonts w:hint="eastAsia"/>
        </w:rPr>
        <mc:AlternateContent>
          <mc:Choice Requires="wps">
            <w:drawing>
              <wp:inline distT="0" distB="0" distL="0" distR="0">
                <wp:extent cx="1333500" cy="413385"/>
                <wp:effectExtent l="0" t="0" r="0" b="5715"/>
                <wp:docPr id="67" name="矩形 67"/>
                <wp:cNvGraphicFramePr/>
                <a:graphic xmlns:a="http://schemas.openxmlformats.org/drawingml/2006/main">
                  <a:graphicData uri="http://schemas.microsoft.com/office/word/2010/wordprocessingShape">
                    <wps:wsp>
                      <wps:cNvSpPr/>
                      <wps:spPr>
                        <a:xfrm>
                          <a:off x="0" y="0"/>
                          <a:ext cx="1333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5pt;v-text-anchor:middle;" fillcolor="#35699B" filled="t" stroked="f" coordsize="21600,21600" o:gfxdata="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FWSHjSAAAABAEAAA8A&#10;AAAAAAAAAQAgAAAAOAAAAGRycy9kb3ducmV2LnhtbFBLAQIUABQAAAAIAIdO4kA0k9gmeQIAAOY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v:textbox>
                <w10:wrap type="none"/>
                <w10:anchorlock/>
              </v:rect>
            </w:pict>
          </mc:Fallback>
        </mc:AlternateContent>
      </w:r>
      <w:r>
        <w:rPr>
          <w:rFonts w:hint="eastAsia"/>
          <w:color w:val="FFFFFF" w:themeColor="background1"/>
          <w:sz w:val="2"/>
          <w:szCs w:val="2"/>
          <w:lang w:val="en-US" w:eastAsia="zh-CN"/>
          <w14:textFill>
            <w14:solidFill>
              <w14:schemeClr w14:val="bg1"/>
            </w14:solidFill>
          </w14:textFill>
        </w:rPr>
        <w:t>靶向治疗提示</w:t>
      </w:r>
      <w:bookmarkEnd w:id="23"/>
      <w:bookmarkEnd w:id="24"/>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drugtable</w:t>
      </w: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kern w:val="0"/>
          <w:sz w:val="18"/>
          <w:szCs w:val="18"/>
        </w:rPr>
      </w:pPr>
      <w:r>
        <w:rPr>
          <w:rFonts w:hint="eastAsia" w:ascii="宋体" w:hAnsi="宋体" w:eastAsia="宋体" w:cs="宋体"/>
          <w:kern w:val="0"/>
          <w:sz w:val="18"/>
          <w:szCs w:val="18"/>
        </w:rPr>
        <w:t>·【说明】</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基因变异所对应的靶向药物敏感性来源于FDA、NMPA、NCCN、ASCO相关指南及OncoKB等公共数据库，随着相关指南、数据库不断完善以及临床数据的更新，变异分级可能发生变化。</w:t>
      </w:r>
    </w:p>
    <w:p>
      <w:pPr>
        <w:autoSpaceDE w:val="0"/>
        <w:autoSpaceDN w:val="0"/>
        <w:adjustRightInd w:val="0"/>
        <w:snapToGrid w:val="0"/>
        <w:spacing w:line="264" w:lineRule="auto"/>
        <w:jc w:val="left"/>
        <w:rPr>
          <w:rFonts w:asciiTheme="majorEastAsia" w:hAnsiTheme="majorEastAsia" w:eastAsiaTheme="majorEastAsia" w:cstheme="majorEastAsia"/>
          <w:kern w:val="0"/>
          <w:sz w:val="20"/>
          <w:szCs w:val="20"/>
        </w:rPr>
        <w:sectPr>
          <w:footerReference r:id="rId5" w:type="default"/>
          <w:pgSz w:w="11906" w:h="16838"/>
          <w:pgMar w:top="1440" w:right="1440" w:bottom="1440" w:left="1440" w:header="850" w:footer="850" w:gutter="0"/>
          <w:pgNumType w:start="1"/>
          <w:cols w:space="0" w:num="1"/>
          <w:rtlGutter w:val="0"/>
          <w:docGrid w:linePitch="312" w:charSpace="0"/>
        </w:sectPr>
      </w:pPr>
      <w:r>
        <w:rPr>
          <w:rFonts w:asciiTheme="majorEastAsia" w:hAnsiTheme="majorEastAsia" w:eastAsiaTheme="majorEastAsia" w:cstheme="majorEastAsia"/>
          <w:kern w:val="0"/>
          <w:sz w:val="20"/>
          <w:szCs w:val="20"/>
        </w:rPr>
        <w:br w:type="page"/>
      </w:r>
    </w:p>
    <w:p>
      <w:pPr>
        <w:autoSpaceDE w:val="0"/>
        <w:autoSpaceDN w:val="0"/>
        <w:adjustRightInd w:val="0"/>
        <w:snapToGrid w:val="0"/>
        <w:jc w:val="left"/>
        <w:rPr>
          <w:rFonts w:ascii="Times New Roman" w:hAnsi="Times New Roman" w:cs="等线" w:eastAsiaTheme="majorEastAsia"/>
          <w:kern w:val="0"/>
          <w:sz w:val="24"/>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456055" cy="413385"/>
                <wp:effectExtent l="0" t="0" r="17145" b="18415"/>
                <wp:docPr id="6" name="矩形 12"/>
                <wp:cNvGraphicFramePr/>
                <a:graphic xmlns:a="http://schemas.openxmlformats.org/drawingml/2006/main">
                  <a:graphicData uri="http://schemas.microsoft.com/office/word/2010/wordprocessingShape">
                    <wps:wsp>
                      <wps:cNvSpPr/>
                      <wps:spPr>
                        <a:xfrm>
                          <a:off x="0" y="0"/>
                          <a:ext cx="1456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14.65pt;v-text-anchor:middle;" fillcolor="#35699B" filled="t" stroked="f" coordsize="21600,21600" o:gfxdata="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bBc5i1AAAAAQB&#10;AAAPAAAAAAAAAAEAIAAAADgAAABkcnMvZG93bnJldi54bWxQSwECFAAUAAAACACHTuJAbO9fo3sC&#10;AADlBAAADgAAAAAAAAABACAAAAA5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v:textbox>
                <w10:wrap type="none"/>
                <w10:anchorlock/>
              </v:rect>
            </w:pict>
          </mc:Fallback>
        </mc:AlternateContent>
      </w: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具有明确临床意义的变异位点【Ⅰ类/Ⅱ类】</w:t>
      </w:r>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pathogenictable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具有潜在临床意义的变异位点【Ⅲ类】</w:t>
      </w:r>
    </w:p>
    <w:p>
      <w:pPr>
        <w:autoSpaceDE w:val="0"/>
        <w:autoSpaceDN w:val="0"/>
        <w:adjustRightInd w:val="0"/>
        <w:snapToGrid w:val="0"/>
        <w:jc w:val="center"/>
        <w:rPr>
          <w:rFonts w:ascii="Times New Roman" w:hAnsi="Times New Roman" w:cs="等线" w:eastAsiaTheme="majorEastAsia"/>
          <w:kern w:val="0"/>
          <w:sz w:val="24"/>
        </w:rPr>
      </w:pPr>
      <w:r>
        <w:rPr>
          <w:rFonts w:hint="eastAsia" w:ascii="Times New Roman" w:hAnsi="Times New Roman" w:cs="等线" w:eastAsiaTheme="majorEastAsia"/>
          <w:kern w:val="0"/>
          <w:sz w:val="24"/>
        </w:rPr>
        <w:t>u</w:t>
      </w:r>
      <w:r>
        <w:rPr>
          <w:rFonts w:ascii="Times New Roman" w:hAnsi="Times New Roman" w:cs="等线" w:eastAsiaTheme="majorEastAsia"/>
          <w:kern w:val="0"/>
          <w:sz w:val="24"/>
        </w:rPr>
        <w:t>nknowntable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【基于证据的体细胞突变分类】</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autoSpaceDE w:val="0"/>
        <w:autoSpaceDN w:val="0"/>
        <w:adjustRightInd w:val="0"/>
        <w:snapToGrid w:val="0"/>
        <w:spacing w:line="264" w:lineRule="auto"/>
        <w:ind w:left="2877" w:leftChars="170" w:hanging="2520" w:hangingChars="1400"/>
        <w:jc w:val="left"/>
        <w:rPr>
          <w:rFonts w:hint="eastAsia" w:ascii="宋体" w:hAnsi="宋体" w:eastAsia="宋体" w:cs="宋体"/>
          <w:color w:val="2F2F2F"/>
          <w:sz w:val="18"/>
          <w:szCs w:val="18"/>
        </w:rPr>
      </w:pPr>
      <w:r>
        <w:rPr>
          <w:rFonts w:hint="eastAsia" w:ascii="宋体" w:hAnsi="宋体" w:eastAsia="宋体" w:cs="宋体"/>
          <w:color w:val="2F2F2F"/>
          <w:sz w:val="18"/>
          <w:szCs w:val="18"/>
        </w:rPr>
        <w:t>- 无害或可能无害等级（Ⅳ类）：Clinvar数据库收录（可能）不致病突变或（可能）良性位点。</w:t>
      </w: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5" w:name="_Toc14448"/>
      <w:bookmarkStart w:id="26" w:name="_Toc1662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0" b="5715"/>
                <wp:docPr id="13" name="矩形 13"/>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其他信息及说明</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ChMAJ1AAAAAQB&#10;AAAPAAAAAAAAAAEAIAAAADgAAABkcnMvZG93bnJldi54bWxQSwECFAAUAAAACACHTuJANCxqOnsC&#10;AADmBAAADgAAAAAAAAABACAAAAA5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其他信息及说明</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体细胞变异基因及位点解析</w:t>
      </w:r>
      <w:bookmarkEnd w:id="25"/>
      <w:bookmarkEnd w:id="26"/>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7" w:name="_Toc6200"/>
      <w:bookmarkStart w:id="28" w:name="_Toc3053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67510" cy="413385"/>
                <wp:effectExtent l="0" t="0" r="8890" b="5715"/>
                <wp:docPr id="5" name="矩形 5"/>
                <wp:cNvGraphicFramePr/>
                <a:graphic xmlns:a="http://schemas.openxmlformats.org/drawingml/2006/main">
                  <a:graphicData uri="http://schemas.microsoft.com/office/word/2010/wordprocessingShape">
                    <wps:wsp>
                      <wps:cNvSpPr/>
                      <wps:spPr>
                        <a:xfrm>
                          <a:off x="0" y="0"/>
                          <a:ext cx="16679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重要靶向药物小结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其他信息及说明</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31.3pt;v-text-anchor:middle;" fillcolor="#35699B" filled="t" stroked="f" coordsize="21600,21600" o:gfxdata="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H4HDXTAAAABAEA&#10;AA8AAAAAAAAAAQAgAAAAOAAAAGRycy9kb3ducmV2LnhtbFBLAQIUABQAAAAIAIdO4kDKkj96ewIA&#10;AOQ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重要靶向药物小结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其他信息及说明</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重要靶向药物小结</w:t>
      </w:r>
      <w:bookmarkEnd w:id="27"/>
      <w:bookmarkEnd w:id="28"/>
    </w:p>
    <w:tbl>
      <w:tblPr>
        <w:tblStyle w:val="9"/>
        <w:tblW w:w="4998" w:type="pct"/>
        <w:jc w:val="center"/>
        <w:tblLayout w:type="fixed"/>
        <w:tblCellMar>
          <w:top w:w="0" w:type="dxa"/>
          <w:left w:w="108" w:type="dxa"/>
          <w:bottom w:w="0" w:type="dxa"/>
          <w:right w:w="108" w:type="dxa"/>
        </w:tblCellMar>
      </w:tblPr>
      <w:tblGrid>
        <w:gridCol w:w="1233"/>
        <w:gridCol w:w="1514"/>
        <w:gridCol w:w="6275"/>
      </w:tblGrid>
      <w:tr>
        <w:trPr>
          <w:cantSplit/>
          <w:tblHeader/>
          <w:jc w:val="center"/>
        </w:trPr>
        <w:tc>
          <w:tcPr>
            <w:tcW w:w="683" w:type="pct"/>
            <w:tcBorders>
              <w:right w:val="single" w:color="FFFFFF" w:sz="4" w:space="0"/>
            </w:tcBorders>
            <w:shd w:val="clear" w:color="auto" w:fill="CFDAE6"/>
            <w:tcMar>
              <w:top w:w="0" w:type="dxa"/>
              <w:left w:w="0" w:type="dxa"/>
              <w:bottom w:w="0" w:type="dxa"/>
              <w:right w:w="0" w:type="dxa"/>
            </w:tcMar>
            <w:vAlign w:val="center"/>
          </w:tcPr>
          <w:p>
            <w:pPr>
              <w:adjustRightInd w:val="0"/>
              <w:snapToGrid w:val="0"/>
              <w:spacing w:before="120" w:beforeLines="50" w:after="120" w:afterLines="50"/>
              <w:jc w:val="center"/>
            </w:pPr>
            <w:r>
              <w:rPr>
                <w:rFonts w:hint="eastAsia" w:ascii="微软雅黑" w:hAnsi="微软雅黑" w:eastAsia="微软雅黑" w:cs="微软雅黑"/>
                <w:b/>
                <w:color w:val="000000"/>
                <w:sz w:val="22"/>
                <w:szCs w:val="22"/>
              </w:rPr>
              <w:t>药物名称</w:t>
            </w:r>
          </w:p>
        </w:tc>
        <w:tc>
          <w:tcPr>
            <w:tcW w:w="838"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adjustRightInd w:val="0"/>
              <w:snapToGrid w:val="0"/>
              <w:spacing w:before="120" w:beforeLines="50" w:after="120" w:afterLines="50"/>
              <w:jc w:val="center"/>
            </w:pPr>
            <w:r>
              <w:rPr>
                <w:rFonts w:hint="eastAsia" w:ascii="微软雅黑" w:hAnsi="微软雅黑" w:eastAsia="微软雅黑" w:cs="微软雅黑"/>
                <w:b/>
                <w:color w:val="000000"/>
                <w:sz w:val="22"/>
                <w:szCs w:val="22"/>
              </w:rPr>
              <w:t>适应症</w:t>
            </w:r>
          </w:p>
        </w:tc>
        <w:tc>
          <w:tcPr>
            <w:tcW w:w="3477" w:type="pct"/>
            <w:tcBorders>
              <w:left w:val="single" w:color="FFFFFF" w:sz="4" w:space="0"/>
            </w:tcBorders>
            <w:shd w:val="clear" w:color="auto" w:fill="CFDAE6"/>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120" w:beforeLines="50" w:after="120" w:afterLines="50"/>
              <w:ind w:left="57" w:right="57" w:rightChars="0"/>
              <w:jc w:val="center"/>
              <w:textAlignment w:val="auto"/>
            </w:pPr>
            <w:r>
              <w:rPr>
                <w:rFonts w:hint="eastAsia" w:ascii="微软雅黑" w:hAnsi="微软雅黑" w:eastAsia="微软雅黑" w:cs="微软雅黑"/>
                <w:b/>
                <w:color w:val="000000"/>
                <w:sz w:val="22"/>
                <w:szCs w:val="22"/>
              </w:rPr>
              <w:t>药物说明</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Gefitinib</w:t>
            </w:r>
          </w:p>
          <w:p>
            <w:pPr>
              <w:pStyle w:val="17"/>
              <w:spacing w:before="50" w:after="50"/>
              <w:rPr>
                <w:color w:val="404040" w:themeColor="text1" w:themeTint="BF"/>
                <w:sz w:val="20"/>
                <w:szCs w:val="20"/>
                <w:lang w:eastAsia="zh-CN"/>
                <w14:textFill>
                  <w14:solidFill>
                    <w14:schemeClr w14:val="tx1">
                      <w14:lumMod w14:val="75000"/>
                      <w14:lumOff w14:val="25000"/>
                    </w14:schemeClr>
                  </w14:solidFill>
                </w14:textFill>
              </w:rPr>
            </w:pPr>
            <w:r>
              <w:rPr>
                <w:rFonts w:hint="eastAsia"/>
                <w:color w:val="404040" w:themeColor="text1" w:themeTint="BF"/>
                <w:sz w:val="20"/>
                <w:szCs w:val="20"/>
                <w:lang w:eastAsia="zh-CN"/>
                <w14:textFill>
                  <w14:solidFill>
                    <w14:schemeClr w14:val="tx1">
                      <w14:lumMod w14:val="75000"/>
                      <w14:lumOff w14:val="25000"/>
                    </w14:schemeClr>
                  </w14:solidFill>
                </w14:textFill>
              </w:rPr>
              <w:t>(</w:t>
            </w:r>
            <w:r>
              <w:rPr>
                <w:color w:val="404040" w:themeColor="text1" w:themeTint="BF"/>
                <w:sz w:val="20"/>
                <w:szCs w:val="20"/>
                <w14:textFill>
                  <w14:solidFill>
                    <w14:schemeClr w14:val="tx1">
                      <w14:lumMod w14:val="75000"/>
                      <w14:lumOff w14:val="25000"/>
                    </w14:schemeClr>
                  </w14:solidFill>
                </w14:textFill>
              </w:rPr>
              <w:t>I</w:t>
            </w:r>
            <w:r>
              <w:rPr>
                <w:rFonts w:hint="eastAsia"/>
                <w:color w:val="404040" w:themeColor="text1" w:themeTint="BF"/>
                <w:sz w:val="20"/>
                <w:szCs w:val="20"/>
                <w:lang w:eastAsia="zh-CN"/>
                <w14:textFill>
                  <w14:solidFill>
                    <w14:schemeClr w14:val="tx1">
                      <w14:lumMod w14:val="75000"/>
                      <w14:lumOff w14:val="25000"/>
                    </w14:schemeClr>
                  </w14:solidFill>
                </w14:textFill>
              </w:rPr>
              <w:t>RESSA)</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吉非替尼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易瑞沙</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吉非替尼（Gefitinib）是靶向表皮生长因子受体（EGFR）的小分子酪氨酸激酶抑制剂，通过阻断EGFR的激酶活性而抑制其磷酸化和下游信号传导，从而起到抑制肿瘤细胞的增殖的作用。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FDA批准吉非替尼用于具有EGFR19号外显子缺失和21号外显子突变（L858R）的非小细胞肺癌（NSCLC）患者的一线治疗。</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CCN指南（v.2.2018）推荐吉非替尼用于晚期、复发及转移的具有EGFR19号外显子缺失和21号外显子突变（L858R）的非鳞状非小细胞肺癌患者（不考虑患者活动状态评分，PS）的一线治疗；不推荐经克唑替尼治疗后复发的具有ALK及ROS1重排的肺癌患者使用吉非替尼作为后续治疗药物。</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Erlotinib</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(Tarceva)</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厄洛替尼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特罗凯</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非小细胞肺癌/胰腺癌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厄洛替尼（Erlotinib）是靶向表皮生长因子受体（EGFR）的小分子酪氨酸激酶抑制剂，通过阻断EGFR的激酶活性而抑制其磷酸化和下游信号传导，从而起到抑制肿瘤细胞的增殖的作用。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厄洛替尼用于具有EGFR19号外显子缺失和21号外显子突变（L858R）的转移性非小细胞肺癌（NSCLC）患者的一线治疗、维持治疗、二线治疗及后续治疗（既往接受至少一个化疗方案治疗后疾病仍然进展）；批准厄洛替尼联合吉西他滨用于局部晚期、无法手术或转移性胰腺癌的治疗；不推荐厄洛替尼用于与基于铂类药物的化疗方案的联合治疗。</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CCN指南（v.2.2018）推荐厄洛替尼用于晚期、复发及转移的具有EGFR19号外显子缺失和21号外显子突变（L858R）的非鳞状非小细胞肺癌患者（不考虑患者活动状态评分，PS）的一线治疗；不推荐经克唑替尼治疗后复发的具有ALK及ROS1重排的肺癌患者使用厄洛替尼作为后续治疗药物；不推荐厄洛替尼作为鳞状非小细胞肺癌患者的二线治疗药物。NCCN指南推荐厄洛替尼在某些情况下可用于医学上不可切除或复发的肾细胞癌患者的一线治疗；推荐厄洛替尼联合贝伐珠单抗用于晚期肾细胞癌患者的治疗。</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Icotinib</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(Conmana)</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埃克替尼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凯美纳</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埃克替尼（Icotinib）是一种高效特异性的表皮生长因子受体酪氨酸激酶抑制剂（EGFR-TKI），对野生型和突变型EGFR均有抑制作用。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MPA已批准国产凯美纳作为单药用于EGFR基因具有敏感突变的局部晚期或转移性非小细胞肺癌（NSCLC）患者的一线治疗。还可试用于既往接受过至少一个化疗方案治疗失败的局部晚期或转移性NSCLC的患者（既往化疗主要是指以铂类为基础的联合化疗）。</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Afatinib</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(Gilotrif)</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阿法替尼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吉泰瑞</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阿法替尼（Afatinib）是靶向表皮生长因子受体（EGFR）/人类表皮生长因子受体2（HER2）的小分子酪氨酸激酶的不可逆抑制剂，共价结合EGFR/HER2的激酶区域，不可逆的抑制酪氨酸激酶的自磷酸化，导致下游信号通路的下调，抑制肿瘤细胞的增殖和生长。</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FDA批准阿法替尼用于无耐药性EGFR突变的转移性非小细胞肺癌（NSCLC）患者的一线治疗；批准阿法替尼用于治疗铂类化疗后有进展的转移性鳞状NSCLC患者。</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CCN指南（v.2.2018）推荐阿法替尼用于FDA批准的一线治疗。此外，对于既往接受一线治疗后疾病仍然进展的肺小细胞癌患者，可考虑阿法替尼联合西妥昔单抗进行治疗。具有19外显子缺失及21号外显子突变（L858R）的肺癌患者对阿法替尼的药物应答反应较好。NCCN指南推荐阿法替尼用于曾接受过铂类药物化疗或病情持续进展的非鼻部头颈癌患者的后续治疗。</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Dacomitinib</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(Vizimpro)</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达可替尼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NA</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Dacomitinib是人EGFR家族（EGFR/HER1，HER2和HER4）和某些EGFR激活突变（外显子19缺失或外显子21</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L858R取代突变）的激酶活性的不可逆抑制剂。体外达可替尼还在临床相关浓度下抑制DDR1，EPHA6，LCK，DDR2和MNK1的活性。</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FDA批准VIZIMPRO适用于表皮生长因子受体（EGFR）外显子19缺失或外显子21L858R突变的转移性非小细胞肺癌（NSCLC）患者的一线治疗。</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Osimertinib</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(Tagrisso)</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w:t>
            </w:r>
          </w:p>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奥希替尼</w:t>
            </w:r>
          </w:p>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泰瑞沙</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奥希替尼（Osimertinib）是表皮生长因子受体（EGFR）的激酶抑制剂。在细胞实验和动物模型实验中，奥希替尼能够不可逆的抑制EGFR突变类型如T790M、L858R、19号外显子缺失。</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FDA批准奥希替尼用于携带EGFRT790M突变且既往接受EGFRTKI治疗后疾病仍然进展或出现耐药的转移性非小细胞肺癌（NSCLC）患者，批准用于EGFR外显子19缺失或外显子21L858R的转移性非小细胞肺癌（NSCLC）患者的一线治疗。</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NCCN指南（v.2.2018）推荐奥希替尼作为具有EGFR</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T790M突变且既往接受EGFR酪氨酸激酶抑制剂的治疗后疾病仍然进展的转移性非小细胞肺癌患者的二线治疗或后续治疗；推荐具有EGFR</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T790M突变且出现脑部转移的非小细胞肺癌患者的治疗。</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pStyle w:val="17"/>
              <w:spacing w:before="50" w:after="5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Almonertinib</w:t>
            </w:r>
          </w:p>
          <w:p>
            <w:pPr>
              <w:pStyle w:val="17"/>
              <w:spacing w:before="50" w:after="50"/>
              <w:rPr>
                <w:color w:val="404040" w:themeColor="text1" w:themeTint="BF"/>
                <w:sz w:val="20"/>
                <w:szCs w:val="20"/>
                <w:lang w:eastAsia="zh-CN"/>
                <w14:textFill>
                  <w14:solidFill>
                    <w14:schemeClr w14:val="tx1">
                      <w14:lumMod w14:val="75000"/>
                      <w14:lumOff w14:val="25000"/>
                    </w14:schemeClr>
                  </w14:solidFill>
                </w14:textFill>
              </w:rPr>
            </w:pPr>
            <w:r>
              <w:rPr>
                <w:rFonts w:hint="eastAsia"/>
                <w:color w:val="404040" w:themeColor="text1" w:themeTint="BF"/>
                <w:sz w:val="20"/>
                <w:szCs w:val="20"/>
                <w:lang w:eastAsia="zh-CN"/>
                <w14:textFill>
                  <w14:solidFill>
                    <w14:schemeClr w14:val="tx1">
                      <w14:lumMod w14:val="75000"/>
                      <w14:lumOff w14:val="25000"/>
                    </w14:schemeClr>
                  </w14:solidFill>
                </w14:textFill>
              </w:rPr>
              <w:t>/</w:t>
            </w:r>
          </w:p>
          <w:p>
            <w:pPr>
              <w:pStyle w:val="17"/>
              <w:spacing w:before="50" w:after="50"/>
              <w:rPr>
                <w:color w:val="404040" w:themeColor="text1" w:themeTint="BF"/>
                <w:sz w:val="20"/>
                <w:szCs w:val="20"/>
                <w:lang w:eastAsia="zh-CN"/>
                <w14:textFill>
                  <w14:solidFill>
                    <w14:schemeClr w14:val="tx1">
                      <w14:lumMod w14:val="75000"/>
                      <w14:lumOff w14:val="25000"/>
                    </w14:schemeClr>
                  </w14:solidFill>
                </w14:textFill>
              </w:rPr>
            </w:pPr>
            <w:r>
              <w:rPr>
                <w:rFonts w:hint="eastAsia"/>
                <w:color w:val="404040" w:themeColor="text1" w:themeTint="BF"/>
                <w:sz w:val="20"/>
                <w:szCs w:val="20"/>
                <w:lang w:eastAsia="zh-CN"/>
                <w14:textFill>
                  <w14:solidFill>
                    <w14:schemeClr w14:val="tx1">
                      <w14:lumMod w14:val="75000"/>
                      <w14:lumOff w14:val="25000"/>
                    </w14:schemeClr>
                  </w14:solidFill>
                </w14:textFill>
              </w:rPr>
              <w:t>阿美替尼</w:t>
            </w:r>
          </w:p>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(阿美乐)</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阿美替尼（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Almonertinib）是由江苏豪森药业自主研发1类创新药，为全球第二个EGFR-TKI创新药，也是全球首个中位无进展生存期（mPFS）超过1年（二线使用）的三代EGFR-TKI，2020年3月31日，国家药品监督管理局批准1类创新药甲磺酸阿美替尼片（商品名：阿美乐）上市，用于既往经表皮生长因子受体（EGFR）酪氨酸激酶抑制剂（TKI）治疗时或治疗后出现疾病进展，并且经检测确认存在EGFR</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T790M突变阳性的局部晚期或转移性非小细胞肺癌成人患者。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Dabrafenib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Tafinlar</w:t>
            </w: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达拉非尼</w:t>
            </w:r>
          </w:p>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泰菲乐</w:t>
            </w: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黑色素瘤/非小细胞肺癌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达拉非尼（Dabrafenib）是BRAF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V600K和BRAF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D酶的一些突变型BRAF激酶的抑制剂，其体外IC50值分别为0.65、0.5和1.84nM。达拉非尼还抑制野生型BRAF和CRAF激酶，其IC50值分别为3.2和5.0nM，在较高浓度下抑制SIK1、NEK11和LIMK1等其他激酶。BRAF基因的一些突变，包括导致BRAFV600E的突变，可导致组成性激活的BRAF激酶，这些酶可刺激肿瘤细胞生长。在体内外，达拉非尼对多种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V600突变阳性肿瘤细胞生长有抑制作用。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达拉非尼和曲美替尼（Trametinib）靶向RAS/RAF/MEK/ERK通路中的两种不同激酶。与单独使用两种药物相比，联合使用达拉非尼和曲美替尼对BRAF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V600突变阳性肿瘤细胞株的体外生长抑制作用更强，对BRAF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V600突变阳性肿瘤异种移植瘤的生长抑制作用更持久。</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FDA批准用于治疗BRAF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V600E突变的不能切除或转移性黑色素瘤；批准与曲美替尼共同使用，用于治疗携带BRAF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V600E或V600K突变的不可切除或转移性黑色素瘤患者；批准与曲美替尼共同使用，用于治疗BRAF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V600E突变的转移性非小细胞肺癌（NSCLC）患者；在无满意的局部区域治疗选择下，可用于局部晚期或转移性间变性甲状腺癌（ATC）BRAF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V600E突变患者的治疗。另外，达拉非尼不适用于治疗野生型BRAF黑色素瘤、野生型BRAF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NSCLC或野生型BRAF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ATC。</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Trametinib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(Mekinist)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曲美替尼</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迈吉宁</w:t>
            </w: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adjustRightInd w:val="0"/>
              <w:snapToGrid w:val="0"/>
              <w:spacing w:before="50" w:after="50"/>
              <w:jc w:val="center"/>
            </w:pP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黑色素瘤/非小细胞肺癌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曲美替尼（Trametinib）是丝裂原活化细胞外信号调节激酶1（MEK1）和MEK2激酶以及MEK1和MEK2激酶活性的可逆抑制剂。MEK蛋白是细胞外信号相关激酶（ERK）通路的上游调节因子，促进细胞增殖。BRAF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V600E突变导致BRAF通路的本构激活，包括MEK1和MEK2。曲美替尼在体外和体内抑制各种BRAF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V600突变阳性肿瘤的细胞生长。</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曲美替尼和达拉非尼在RAS/RAF/MEK/ERK途径中靶向两种不同的激酶。与两种药物单独使用相比，曲美替尼和达拉非尼联合使用可更好地抑制BRAF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V600突变阳性肿瘤细胞株的体外生长，延长对BRAF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V600突变阳性肿瘤异种移植物肿瘤生长的抑制作用。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FDA批准曲美替尼与达拉非尼联合用于辅助治疗患有BRAF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V600E或V600K突变的黑色素瘤患者，也批准这两种药物联用治疗患有BRAF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V600E突变的非小细胞肺癌患者。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Vemurafenib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(Zelboraf)</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维莫非尼</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黑色素瘤/埃尔德海姆-切斯特病</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维莫非尼（Vemurafenib）是一种低分子量的口服抗突变型BRAF丝氨酸苏氨酸激酶抑制剂，包括BRAF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在体外，维莫非尼也能抑制其他激酶，如CRAF、ARAF、野生型BRAF、SRMS、ACK1、MAP4K5和FGR。包括V600E在内的BRAF基因的一些突变导致构成性激活的BRAF蛋白，在缺乏正常增殖所需生长因子的情况下，这可能导致细胞增殖。维莫非尼在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V600E突变的黑色素瘤细胞和动物模型中具有抗肿瘤作用。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FDA批准维莫非尼用于治疗埃尔德海姆-切斯特病；用于治疗BRAF</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V600E突变的不可切除或转移性黑色素瘤患者。</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Brigatinib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布加替尼</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布加替尼（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Brigatinib）是一种酪氨酸激酶抑制剂，在体外对多种激酶（包括ALK、ROS1、胰岛素样生长因子-1受体（IGF-1R）、FLT-3、EGFR缺失和点突变）具有临床可达到的活性。布加替尼在体内外实验中抑制ALK的自磷酸化和ALK介导的下游信号蛋白STAT3、AKT、ERK1/2和S6的磷酸化。布加替尼还抑制了表达EML4-ALK和NPM-ALK融合蛋白的细胞系的体外增殖，并显示了对小鼠EML4-ALK阳性NSCLC异种移植生长的剂量依赖性抑制。</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在临床可达到的浓度（≤</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500nm）下，布加替尼抑制表达EML4-ALK的细胞和17种与抗ALK抑制剂相关的突变形式的体外活性，包括克唑替尼，以及EGFR-Del（E746-A750）、ROS1-L2026M、FLT3-F691L。布加替尼对4种EML4-ALK突变体具有体内抗肿瘤活性，包括在克唑替尼治疗时进展患者的NSCLC肿瘤中鉴定到的G1202R和L1196M突变。布加替尼还降低了ALK驱动的肿瘤细胞系植入小鼠颅内后的肿瘤负担，且延长了生存期。</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FDA批准布加替尼治疗克唑替尼已进展或不耐受的ALK阳性转移性非小细胞肺癌（NSCLC）患者。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Ceritinib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(Zykadia)</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塞瑞替尼</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(赞可达)</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塞瑞替尼（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Ceritinib）是一种激酶抑制剂。在临床相关浓度的生化或细胞试验中发现的塞瑞替尼抑制的靶点包括ALK、胰岛素样生长因子1受体（IGF-1R）、胰岛素受体（InsR）和ROS1。其中，塞瑞替尼对ALK的活性最高。在体外和体内试验中，塞瑞替尼抑制ALK的自磷酸化、ALK介导的下游信号蛋白STAT3的磷酸化、以及ALK依赖的癌细胞的增殖。</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塞瑞替尼抑制表达</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EML4-ALK和NPM-ALK融合蛋白的细胞株的体外增殖，并表现出对小鼠和大鼠EML4-ALK阳性NSCLC异种移植物生长的剂量依赖性抑制。在携带EML4-ALK阳性NSCLC异种移植物的对克唑替尼具有明显的耐药性的小鼠中，在临床相关浓度范围内，塞瑞替尼表现出剂量依赖性的抗肿瘤活性。</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FDA批准塞瑞替尼用于治疗间变性淋巴瘤激酶（ALK）阳性的转移性非小细胞肺癌（NSCLC）患者。</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Alectinib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(Alecensa)</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阿来替尼</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(安圣莎)</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阿来替尼（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Alectinib）是一种针对ALK和RET的酪氨酸激酶抑制剂。在非临床研究中，阿来替尼抑制ALK磷酸化和ALK介导的下游信号蛋白STAT3和AKT的激活，并降低含有ALK融合、扩增或激活突变的多个细胞系中肿瘤细胞的存活率。阿来替尼的主要活性代谢产物M4在体外的效力和活性相似。</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阿来替尼和</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M4在体内和体外对ALK酶的多种突变形式都有活性，包括在有克唑替尼治疗进展的非小细胞肺癌（NSCLC）中发现的一些突变。</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在移植有</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ALK融合瘤的小鼠模型中，给药阿来替尼可导致抗肿瘤活性和延长生存期，包括在植入ALK驱动肿瘤细胞系的小鼠模型中。</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2015年，FDA批准阿来替尼用于间变性淋巴瘤激酶（ALK）阳性的转移性非小细胞肺癌（NSCLC）患者的治疗。</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Crizotinib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(Xalkori)</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克唑替尼</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(赛可瑞)</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克唑替尼（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Crizotinib）是一种受体酪氨酸激酶抑制剂，包括ALK、肝细胞生长因子受体（HGFR、c-Met）、ROS1（c-ros）和Recepteurd'OrigineNantais（RON）。易位会影响ALK基因，导致致癌融合蛋白的表达。在表达这些蛋白的肿瘤中，ALK融合蛋白的形成导致基因表达和信号的激活和失调，从而促进细胞增殖和存活。在使用肿瘤细胞系进行的细胞检测中，克唑替尼显示出浓度依赖性抑制ALK、ROS1和c-Met磷酸化，并在携带表达棘皮类微管相关蛋白样4(EML4)-或核蛋白(NPM)-ALK融合蛋白或c-Met的肿瘤异种移植物的小鼠中显示出抗肿瘤活性。</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FDA批准克唑替尼用于治疗间变性淋巴瘤激酶（ALK）阳性或ROS1阳性的转移性非小细胞肺癌（NSCLC）患者。</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Lorlatinib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(Lorbrena)</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劳拉替尼</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劳拉替尼（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Lorlatinib）是一种对ALK和ROS1以及TYK1、FER、FPS、TRKA、TRKB、TRKC、FAK、FAK2和ACK具有体外活性的激酶抑制剂。劳拉替尼对ALK酶的多种突变形式表现出体外活性，包括在克唑替尼（Crizotinib）和其他ALK抑制剂疾病进展时在肿瘤中检测到的一些突变。</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在皮下植入含有</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ALK变体1或ALK突变的EML4融合的肿瘤的小鼠中，包括在ALK抑制剂的疾病进展时在肿瘤中检测到的G1202R和I1171T突变，使用劳拉替尼可产生抗肿瘤活性。体内植入EML4-ALK驱动的肿瘤细胞系小鼠中，劳拉替尼也显示出抗肿瘤活性和延长生存期的作用。劳拉替尼在体内模型的整体抗肿瘤活性是剂量依赖性的，并与抑制ALK磷酸化相关。</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2018年11月2日，FDA加快批准了劳拉替尼（LORBRENA，Pfizer，Inc.）用于疾病进展持续的间变性淋巴瘤激酶（ALK）阳性转移性非小细胞肺癌（NSCLC）患者。该疾病需已进展为：克唑替尼和至少另一种ALK抑制剂治疗转移性疾病；或阿来替尼作为第一种ALK抑制剂治疗转移性疾病；或塞瑞替尼作为第一种ALK抑制剂治疗转移性疾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Mobocertinib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TAK-788)</w:t>
            </w: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adjustRightInd w:val="0"/>
              <w:snapToGrid w:val="0"/>
              <w:spacing w:before="50" w:after="50"/>
              <w:jc w:val="center"/>
            </w:pP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Mobocertinib（TAK-788）是一种小分子酪氨酸激酶抑制剂（TKI），旨在选择性靶向EGFR和人EGFR2（HER2）第20号外显子插入突变。</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美国食品和药物管理局（FDA）已授予mobocertinib（TAK-788）突破性药物资格（BTD），用于治疗接受含铂化疗期间或之后病情进展、携带表皮生长因子受体（EGFR）第20号外显子插入突变的转移性非小细胞肺癌（NSCLC）患者。</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JNJ-372</w:t>
            </w:r>
          </w:p>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JNJ-61186372)</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JNJ-372（JNJ-61186372）是美国强生公司与丹麦Genmab公司合作，基于DuoBody平台研发的靶向EGFR以及cMet的人源化双特异性抗体。JNJ-372能够同时抑制EGFR以及cMet的磷酸化，以及下游信号的激活，并且有较强的ADCC（抗体依赖性细胞介导的细胞毒作用）。</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2020年3月，JNJ-61186372（JNJ-372）获FDA突破性疗法认定，用于治疗接受含铂化疗后病情进展、EGFR第20号外显子有插入突变的转移性非小细胞肺癌（NSCLC）患者。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Vandetanib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(Caprelsa)</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凡德他尼</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甲状腺髓样癌</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凡德他尼（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andetanib）是酪氨酸激酶抑制剂。体外研究表明，凡德他尼抑制酪氨酸激酶的活性，包括表皮生长因子受体（EGFR）家族成员、转染过程中重排的血管内皮细胞生长因子（VEGF）受体（RET）、蛋白酪氨酸激酶6（BRK）、TIE2、EPH受体激酶家族成员和酪氨酸激酶Src家族成员。在血管生成的体外模型中，凡德他尼抑制内皮细胞的迁移、增殖、存活和新血管的形成。凡德他尼在体外抑制EGFR依赖的细胞存活。此外，凡德他尼还能抑制肿瘤细胞和内皮细胞中表皮生长因子（EGF）刺激的受体酪氨酸激酶磷酸化，抑制内皮细</w:t>
            </w: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胞中</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VEGF刺激的酪氨酸激酶磷酸化。</w:t>
            </w: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在体内，凡德他尼可降低肿瘤细胞诱导的血管生成、肿瘤血管通透性，抑制肿瘤的生长和转移。目前没有证据表明</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RET突变与凡德他尼的疗效之间存在关系。</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FDA批准用于治疗不可切除、局部进展或转移性疾病患者的症状性或进行性髓样甲状腺癌。</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Capmatinib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(TABRECTA)</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卡马替尼</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卡马替尼（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Capmatinib）是一种激酶抑制剂，其作用靶点是MET，包括由第14外显子跳跃产生的突变体。MET外显子14的跳过导致一个缺少调控结构域的蛋白质，该结构域减少了其负调控，导致下游MET信号增加。Capmatinib在临床可达到的浓度下抑制了由缺乏外显子14的突变型MET变体驱动的癌细胞生长，并在从人肺癌衍生的小鼠肿瘤异种移植模型中证明了抗肿瘤活性，该突变导致MET外显子14跳跃或MET扩增。Capmatinib抑制肝细胞生长因子结合或MET扩增引起的MET磷酸化，抑制MET介导的下游信号蛋白磷</w:t>
            </w: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酸化及</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MET依赖癌细胞的增殖和存活。</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2020年，FDA批准用于治疗转移性非小细胞肺癌(NSCLC)的成年患者，这些患者的肿瘤发生突变，导致间充质-上皮转化(MET)外显子14跳跃。</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Sorafenib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(Nexavar)</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索拉非尼</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(多吉美)</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胃癌</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/非小细胞肺癌/结直肠癌/肝细胞癌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索拉非尼（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Sorafenib）是一种激酶抑制剂，可在体外抑制肿瘤细胞增殖。索拉非尼可抑制多种细胞内（c-CRAF、BRAF和突变BRAF）和细胞表面（KIT、FLT-3、RET、RET/PTC、VEGFR-1、VEGFR-2、VEGFR-3和PDGFR-ß）激酶。其中一些激酶被认为与肿瘤细胞信号传导、血管生成和凋亡有关。索拉非尼对免疫低下小鼠肝癌、肾细胞癌和人肿瘤移植瘤的生长有抑制作用。索拉非尼治疗后，肝癌和肾癌模型的肿瘤血管生成减少，肝癌、肾癌和DTC模型的肿瘤细胞凋亡增加。</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FDA批准索拉非尼治疗晚期肾癌</w:t>
            </w: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和不能切除的肝细胞癌，以及某些进展性、复发性或转移性且对放射性碘治疗无效的甲状腺癌患者。</w:t>
            </w:r>
          </w:p>
        </w:tc>
      </w:tr>
      <w:tr>
        <w:trPr>
          <w:cantSplit/>
          <w:jc w:val="center"/>
        </w:trPr>
        <w:tc>
          <w:tcPr>
            <w:tcW w:w="683" w:type="pct"/>
            <w:tcBorders>
              <w:right w:val="single" w:color="FFFFFF" w:sz="4" w:space="0"/>
            </w:tcBorders>
            <w:shd w:val="clear" w:color="auto" w:fill="FFFFFF"/>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Entrectinib</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(Rozlytrek)</w:t>
            </w:r>
          </w:p>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w:t>
            </w:r>
          </w:p>
          <w:p>
            <w:pPr>
              <w:widowControl/>
              <w:adjustRightInd w:val="0"/>
              <w:snapToGrid w:val="0"/>
              <w:spacing w:before="50" w:after="50"/>
              <w:jc w:val="center"/>
              <w:textAlignment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恩曲替尼</w:t>
            </w:r>
          </w:p>
        </w:tc>
        <w:tc>
          <w:tcPr>
            <w:tcW w:w="83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/实体瘤</w:t>
            </w:r>
          </w:p>
        </w:tc>
        <w:tc>
          <w:tcPr>
            <w:tcW w:w="3477" w:type="pct"/>
            <w:tcBorders>
              <w:left w:val="single" w:color="FFFFFF" w:sz="4"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恩曲替尼（</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Entrectinib）是肌球蛋白受体酪氨酸激酶（TRK）TRKA、TRKB和TRKC（分别由神经营养性酪氨酸受体激酶基因NTRK1、NTRK2和NTRK3编码）、原癌基因酪氨酸蛋白激酶ROS1（ROS1）和间变性淋巴瘤激酶（ALK）的抑制剂，包含TRK、ROS1或ALK激酶结构域的融合蛋白可以通过下游信号通路的过度激活来驱动肿瘤发生潜能，从而导致无限制的细胞增殖,在体外和体内试验中，恩曲替尼均抑制来自NTRK、ROS1和ALK融合基因的多种肿瘤类型的癌细胞株。</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恩曲替尼（ROZLYTREK，GenentechInc.）用于12岁及12岁以上患有神经营养性酪氨酸受体激酶（NTRK）基因融合但无已知获得性耐药突变的实体瘤成人和儿童患者，之后，FDA批准恩曲替尼用于治疗患有转移性非小细胞肺癌（NSCLC）且其肿瘤呈ROS1阳性的成年患者。</w:t>
            </w:r>
          </w:p>
        </w:tc>
      </w:tr>
      <w:tr>
        <w:trPr>
          <w:cantSplit/>
          <w:jc w:val="center"/>
        </w:trPr>
        <w:tc>
          <w:tcPr>
            <w:tcW w:w="683" w:type="pct"/>
            <w:tcBorders>
              <w:right w:val="single" w:color="FFFFFF" w:sz="4" w:space="0"/>
            </w:tcBorders>
            <w:shd w:val="clear" w:color="auto" w:fill="F2F2F2"/>
            <w:tcMar>
              <w:top w:w="0" w:type="dxa"/>
              <w:left w:w="0" w:type="dxa"/>
              <w:bottom w:w="0" w:type="dxa"/>
              <w:right w:w="0" w:type="dxa"/>
            </w:tcMar>
            <w:vAlign w:val="center"/>
          </w:tcPr>
          <w:p>
            <w:pPr>
              <w:widowControl/>
              <w:adjustRightInd w:val="0"/>
              <w:snapToGrid w:val="0"/>
              <w:spacing w:before="50" w:after="50"/>
              <w:jc w:val="center"/>
              <w:textAlignment w:val="cente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Selpercatinib</w:t>
            </w:r>
          </w:p>
          <w:p>
            <w:pPr>
              <w:adjustRightInd w:val="0"/>
              <w:snapToGrid w:val="0"/>
              <w:spacing w:before="50" w:after="50"/>
              <w:jc w:val="center"/>
            </w:pP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(Retevmo)</w:t>
            </w:r>
          </w:p>
        </w:tc>
        <w:tc>
          <w:tcPr>
            <w:tcW w:w="83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adjustRightInd w:val="0"/>
              <w:snapToGrid w:val="0"/>
              <w:spacing w:before="50" w:after="50"/>
              <w:jc w:val="center"/>
            </w:pPr>
            <w:r>
              <w:rPr>
                <w:rFonts w:hint="eastAsia"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非小细胞肺癌</w:t>
            </w:r>
            <w:r>
              <w:rPr>
                <w:rFonts w:ascii="微软雅黑" w:hAnsi="微软雅黑" w:eastAsia="微软雅黑" w:cs="Times New Roman"/>
                <w:color w:val="404040" w:themeColor="text1" w:themeTint="BF"/>
                <w:sz w:val="20"/>
                <w:szCs w:val="20"/>
                <w:lang w:bidi="ar"/>
                <w14:textFill>
                  <w14:solidFill>
                    <w14:schemeClr w14:val="tx1">
                      <w14:lumMod w14:val="75000"/>
                      <w14:lumOff w14:val="25000"/>
                    </w14:schemeClr>
                  </w14:solidFill>
                </w14:textFill>
              </w:rPr>
              <w:t>/甲状腺髓样癌</w:t>
            </w:r>
          </w:p>
        </w:tc>
        <w:tc>
          <w:tcPr>
            <w:tcW w:w="3477" w:type="pct"/>
            <w:tcBorders>
              <w:left w:val="single" w:color="FFFFFF" w:sz="4" w:space="0"/>
            </w:tcBorders>
            <w:shd w:val="clear" w:color="auto" w:fill="F2F2F2"/>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Selpercatinib（LOXO-292）是一种强效、口服、高度选择性转染期间重排（RET）激酶抑制剂，用于治疗RET异常的癌症患者。RET基因是一个在转染过程中发生重排的原癌基因，并因此而得名，该基因编码一种细胞膜受体酪氨酸激酶，其异常是多种类型肿瘤的罕见驱动因素。</w:t>
            </w:r>
          </w:p>
          <w:p>
            <w:pPr>
              <w:keepNext w:val="0"/>
              <w:keepLines w:val="0"/>
              <w:pageBreakBefore w:val="0"/>
              <w:widowControl w:val="0"/>
              <w:kinsoku/>
              <w:wordWrap/>
              <w:overflowPunct/>
              <w:topLinePunct w:val="0"/>
              <w:autoSpaceDE/>
              <w:autoSpaceDN/>
              <w:bidi w:val="0"/>
              <w:adjustRightInd w:val="0"/>
              <w:snapToGrid w:val="0"/>
              <w:spacing w:before="50" w:after="50"/>
              <w:ind w:left="57" w:right="57" w:rightChars="0"/>
              <w:textAlignment w:val="auto"/>
            </w:pP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FDA批准了Retevmo(selpercatinib</w:t>
            </w:r>
            <w:r>
              <w:rPr>
                <w:rFonts w:hint="eastAsia" w:ascii="微软雅黑" w:hAnsi="微软雅黑" w:eastAsia="微软雅黑" w:cs="Times New Roman"/>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40毫克、80毫克胶囊)，该药物是首个被批准专门用于治疗转染重排基因(RET)融合阳性的转移性非小细胞肺癌(NSCLC)的成年患者，和需要系统性治疗的携带RET突变的晚期或转移性甲状腺</w:t>
            </w:r>
            <w:r>
              <w:rPr>
                <w:rFonts w:hint="eastAsia"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髓样癌成人和</w:t>
            </w:r>
            <w:r>
              <w:rPr>
                <w:rFonts w:ascii="微软雅黑" w:hAnsi="微软雅黑" w:eastAsia="微软雅黑" w:cs="Times New Roman"/>
                <w:color w:val="404040" w:themeColor="text1" w:themeTint="BF"/>
                <w:sz w:val="20"/>
                <w:szCs w:val="20"/>
                <w14:textFill>
                  <w14:solidFill>
                    <w14:schemeClr w14:val="tx1">
                      <w14:lumMod w14:val="75000"/>
                      <w14:lumOff w14:val="25000"/>
                    </w14:schemeClr>
                  </w14:solidFill>
                </w14:textFill>
              </w:rPr>
              <w:t>12岁及以上的儿童患者，以及需要系统性治疗和放射性碘治疗(如适用)难治的RET融合阳性的晚期或转移性甲状腺癌成人和12岁及以上的儿童患者。</w:t>
            </w:r>
          </w:p>
        </w:tc>
      </w:tr>
    </w:tbl>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4624"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2" name="图片 1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29" w:name="_Toc21390"/>
      <w:bookmarkStart w:id="30" w:name="_Toc30783"/>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3600"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4" name="图片 14"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3</w:t>
      </w:r>
      <w:r>
        <w:rPr>
          <w:rFonts w:hint="eastAsia" w:ascii="微软雅黑" w:hAnsi="微软雅黑" w:eastAsia="微软雅黑" w:cs="微软雅黑"/>
          <w:b/>
          <w:bCs/>
          <w:color w:val="35699B"/>
          <w:kern w:val="44"/>
          <w:sz w:val="70"/>
          <w:szCs w:val="70"/>
          <w:lang w:val="en-US" w:eastAsia="zh-CN" w:bidi="ar-SA"/>
        </w:rPr>
        <w:t xml:space="preserve"> - 其他信息及说明</w:t>
      </w:r>
      <w:r>
        <w:rPr>
          <w:rFonts w:ascii="微软雅黑" w:hAnsi="微软雅黑" w:eastAsia="微软雅黑" w:cs="微软雅黑"/>
          <w:b/>
          <w:bCs/>
          <w:sz w:val="60"/>
          <w:szCs w:val="60"/>
        </w:rPr>
        <w:drawing>
          <wp:anchor distT="0" distB="0" distL="114300" distR="114300" simplePos="0" relativeHeight="251663360" behindDoc="1" locked="0" layoutInCell="1" allowOverlap="1">
            <wp:simplePos x="0" y="0"/>
            <wp:positionH relativeFrom="column">
              <wp:posOffset>-1197610</wp:posOffset>
            </wp:positionH>
            <wp:positionV relativeFrom="paragraph">
              <wp:posOffset>-925195</wp:posOffset>
            </wp:positionV>
            <wp:extent cx="7638415" cy="10800080"/>
            <wp:effectExtent l="0" t="0" r="6985" b="7620"/>
            <wp:wrapNone/>
            <wp:docPr id="119" name="图片 1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bookmarkEnd w:id="29"/>
      <w:bookmarkEnd w:id="30"/>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1" w:name="_Toc20120"/>
      <w:bookmarkStart w:id="32" w:name="_Toc2555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11910" cy="413385"/>
                <wp:effectExtent l="0" t="0" r="2540" b="5715"/>
                <wp:docPr id="11" name="矩形 12"/>
                <wp:cNvGraphicFramePr/>
                <a:graphic xmlns:a="http://schemas.openxmlformats.org/drawingml/2006/main">
                  <a:graphicData uri="http://schemas.microsoft.com/office/word/2010/wordprocessingShape">
                    <wps:wsp>
                      <wps:cNvSpPr/>
                      <wps:spPr>
                        <a:xfrm>
                          <a:off x="0" y="0"/>
                          <a:ext cx="1312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3.3pt;v-text-anchor:middle;" fillcolor="#35699B" filled="t" stroked="f" coordsize="21600,21600" o:gfxdata="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7NyqotIAAAAEAQAA&#10;DwAAAAAAAAABACAAAAA4AAAAZHJzL2Rvd25yZXYueG1sUEsBAhQAFAAAAAgAh07iQDA4czN7AgAA&#10;5g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样本质控结果</w:t>
      </w:r>
      <w:bookmarkEnd w:id="31"/>
      <w:bookmarkEnd w:id="32"/>
    </w:p>
    <w:tbl>
      <w:tblPr>
        <w:tblStyle w:val="9"/>
        <w:tblW w:w="4998" w:type="pct"/>
        <w:jc w:val="center"/>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2003"/>
        <w:gridCol w:w="2505"/>
        <w:gridCol w:w="2130"/>
        <w:gridCol w:w="2384"/>
      </w:tblGrid>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tblHeader/>
          <w:jc w:val="center"/>
        </w:trPr>
        <w:tc>
          <w:tcPr>
            <w:tcW w:w="1110" w:type="pct"/>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质控内容</w:t>
            </w:r>
          </w:p>
        </w:tc>
        <w:tc>
          <w:tcPr>
            <w:tcW w:w="1388" w:type="pct"/>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质控参数</w:t>
            </w:r>
          </w:p>
        </w:tc>
        <w:tc>
          <w:tcPr>
            <w:tcW w:w="1180" w:type="pct"/>
            <w:tcBorders>
              <w:top w:val="nil"/>
              <w:bottom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检测值</w:t>
            </w:r>
          </w:p>
        </w:tc>
        <w:tc>
          <w:tcPr>
            <w:tcW w:w="1319" w:type="pct"/>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质控标准</w:t>
            </w:r>
          </w:p>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（组织/血液）</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病理评估</w:t>
            </w:r>
          </w:p>
        </w:tc>
        <w:tc>
          <w:tcPr>
            <w:tcW w:w="1388" w:type="pct"/>
            <w:tcBorders>
              <w:top w:val="nil"/>
              <w:left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恶性肿瘤细胞占比(</w:t>
            </w:r>
            <w:r>
              <w:rPr>
                <w:rFonts w:ascii="微软雅黑" w:hAnsi="微软雅黑" w:eastAsia="微软雅黑" w:cs="微软雅黑"/>
                <w:kern w:val="0"/>
                <w:sz w:val="20"/>
                <w:szCs w:val="20"/>
              </w:rPr>
              <w:t>%)</w:t>
            </w:r>
          </w:p>
        </w:tc>
        <w:tc>
          <w:tcPr>
            <w:tcW w:w="1180" w:type="pct"/>
            <w:tcBorders>
              <w:top w:val="nil"/>
              <w:bottom w:val="single" w:color="F1F1F1" w:themeColor="background1" w:themeShade="F2"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3" w:name="tumorcell"/>
            <w:r>
              <w:rPr>
                <w:rFonts w:hint="eastAsia" w:ascii="微软雅黑" w:hAnsi="微软雅黑" w:eastAsia="微软雅黑" w:cs="微软雅黑"/>
                <w:kern w:val="0"/>
                <w:sz w:val="20"/>
                <w:szCs w:val="20"/>
              </w:rPr>
              <w:t>tumorcell</w:t>
            </w:r>
            <w:bookmarkEnd w:id="33"/>
          </w:p>
        </w:tc>
        <w:tc>
          <w:tcPr>
            <w:tcW w:w="1319" w:type="pct"/>
            <w:tcBorders>
              <w:top w:val="nil"/>
              <w:bottom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&gt;</w:t>
            </w:r>
            <w:r>
              <w:rPr>
                <w:rFonts w:ascii="微软雅黑" w:hAnsi="微软雅黑" w:eastAsia="微软雅黑" w:cs="微软雅黑"/>
                <w:kern w:val="0"/>
                <w:sz w:val="20"/>
                <w:szCs w:val="20"/>
              </w:rPr>
              <w:t>10%</w:t>
            </w: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restart"/>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DNA质量评估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NA</w:t>
            </w:r>
            <w:r>
              <w:rPr>
                <w:rFonts w:hint="eastAsia" w:ascii="微软雅黑" w:hAnsi="微软雅黑" w:eastAsia="微软雅黑" w:cs="微软雅黑"/>
                <w:kern w:val="0"/>
                <w:sz w:val="20"/>
                <w:szCs w:val="20"/>
              </w:rPr>
              <w:t>总量(</w:t>
            </w:r>
            <w:r>
              <w:rPr>
                <w:rFonts w:ascii="微软雅黑" w:hAnsi="微软雅黑" w:eastAsia="微软雅黑" w:cs="微软雅黑"/>
                <w:kern w:val="0"/>
                <w:sz w:val="20"/>
                <w:szCs w:val="20"/>
              </w:rPr>
              <w:t>ng)</w:t>
            </w:r>
          </w:p>
        </w:tc>
        <w:tc>
          <w:tcPr>
            <w:tcW w:w="1180" w:type="pct"/>
            <w:tcBorders>
              <w:top w:val="single" w:color="F1F1F1" w:themeColor="background1" w:themeShade="F2" w:sz="4" w:space="0"/>
              <w:bottom w:val="single" w:color="F1F1F1" w:themeColor="background1" w:themeShade="F2"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4" w:name="dna"/>
            <w:r>
              <w:rPr>
                <w:rFonts w:ascii="微软雅黑" w:hAnsi="微软雅黑" w:eastAsia="微软雅黑" w:cs="微软雅黑"/>
                <w:kern w:val="0"/>
                <w:sz w:val="20"/>
                <w:szCs w:val="20"/>
              </w:rPr>
              <w:t>DNA</w:t>
            </w:r>
            <w:bookmarkEnd w:id="34"/>
          </w:p>
        </w:tc>
        <w:tc>
          <w:tcPr>
            <w:tcW w:w="1319" w:type="pct"/>
            <w:tcBorders>
              <w:top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100/</w:t>
            </w: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30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DNA片段降解程度</w:t>
            </w:r>
          </w:p>
        </w:tc>
        <w:tc>
          <w:tcPr>
            <w:tcW w:w="1180" w:type="pct"/>
            <w:tcBorders>
              <w:top w:val="single" w:color="F1F1F1" w:themeColor="background1" w:themeShade="F2" w:sz="4" w:space="0"/>
              <w:bottom w:val="single" w:color="F1F1F1" w:themeColor="background1" w:themeShade="F2"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c>
          <w:tcPr>
            <w:tcW w:w="1319" w:type="pct"/>
            <w:tcBorders>
              <w:top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预文库总量(</w:t>
            </w:r>
            <w:r>
              <w:rPr>
                <w:rFonts w:ascii="微软雅黑" w:hAnsi="微软雅黑" w:eastAsia="微软雅黑" w:cs="微软雅黑"/>
                <w:kern w:val="0"/>
                <w:sz w:val="20"/>
                <w:szCs w:val="20"/>
              </w:rPr>
              <w:t>ng)</w:t>
            </w:r>
          </w:p>
        </w:tc>
        <w:tc>
          <w:tcPr>
            <w:tcW w:w="1180" w:type="pct"/>
            <w:tcBorders>
              <w:top w:val="single" w:color="F1F1F1" w:themeColor="background1" w:themeShade="F2" w:sz="4" w:space="0"/>
              <w:bottom w:val="single" w:color="F1F1F1" w:themeColor="background1" w:themeShade="F2"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5" w:name="library"/>
            <w:r>
              <w:rPr>
                <w:rFonts w:ascii="微软雅黑" w:hAnsi="微软雅黑" w:eastAsia="微软雅黑" w:cs="微软雅黑"/>
                <w:kern w:val="0"/>
                <w:sz w:val="20"/>
                <w:szCs w:val="20"/>
              </w:rPr>
              <w:t>library</w:t>
            </w:r>
            <w:bookmarkEnd w:id="35"/>
          </w:p>
        </w:tc>
        <w:tc>
          <w:tcPr>
            <w:tcW w:w="1319" w:type="pct"/>
            <w:tcBorders>
              <w:top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500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restart"/>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测序质量评估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平均测序深度</w:t>
            </w:r>
          </w:p>
        </w:tc>
        <w:tc>
          <w:tcPr>
            <w:tcW w:w="1180" w:type="pct"/>
            <w:tcBorders>
              <w:top w:val="single" w:color="F1F1F1" w:themeColor="background1" w:themeShade="F2" w:sz="4" w:space="0"/>
              <w:bottom w:val="single" w:color="F1F1F1" w:themeColor="background1" w:themeShade="F2"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6" w:name="depth"/>
            <w:r>
              <w:rPr>
                <w:rFonts w:ascii="微软雅黑" w:hAnsi="微软雅黑" w:eastAsia="微软雅黑" w:cs="微软雅黑"/>
                <w:kern w:val="0"/>
                <w:sz w:val="20"/>
                <w:szCs w:val="20"/>
              </w:rPr>
              <w:t>depth</w:t>
            </w:r>
            <w:bookmarkEnd w:id="36"/>
          </w:p>
        </w:tc>
        <w:tc>
          <w:tcPr>
            <w:tcW w:w="1319" w:type="pct"/>
            <w:tcBorders>
              <w:top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≥1000/≥5000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文库多样性</w:t>
            </w:r>
          </w:p>
        </w:tc>
        <w:tc>
          <w:tcPr>
            <w:tcW w:w="1180" w:type="pct"/>
            <w:tcBorders>
              <w:top w:val="single" w:color="F1F1F1" w:themeColor="background1" w:themeShade="F2" w:sz="4" w:space="0"/>
              <w:bottom w:val="single" w:color="F1F1F1" w:themeColor="background1" w:themeShade="F2"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7" w:name="libcomplex"/>
            <w:r>
              <w:rPr>
                <w:rFonts w:hint="eastAsia" w:ascii="微软雅黑" w:hAnsi="微软雅黑" w:eastAsia="微软雅黑" w:cs="微软雅黑"/>
                <w:kern w:val="0"/>
                <w:sz w:val="20"/>
                <w:szCs w:val="20"/>
              </w:rPr>
              <w:t>libcomplex</w:t>
            </w:r>
            <w:bookmarkEnd w:id="37"/>
          </w:p>
        </w:tc>
        <w:tc>
          <w:tcPr>
            <w:tcW w:w="1319" w:type="pct"/>
            <w:tcBorders>
              <w:top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0</w:t>
            </w:r>
            <w:r>
              <w:rPr>
                <w:rFonts w:hint="eastAsia" w:ascii="微软雅黑" w:hAnsi="微软雅黑" w:eastAsia="微软雅黑" w:cs="微软雅黑"/>
                <w:kern w:val="0"/>
                <w:sz w:val="20"/>
                <w:szCs w:val="20"/>
              </w:rPr>
              <w:t>%</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插入片段长度（bp）</w:t>
            </w:r>
          </w:p>
        </w:tc>
        <w:tc>
          <w:tcPr>
            <w:tcW w:w="1180" w:type="pct"/>
            <w:tcBorders>
              <w:top w:val="single" w:color="F1F1F1" w:themeColor="background1" w:themeShade="F2" w:sz="4" w:space="0"/>
              <w:bottom w:val="single" w:color="F1F1F1" w:themeColor="background1" w:themeShade="F2"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8" w:name="insertsize"/>
            <w:r>
              <w:rPr>
                <w:rFonts w:hint="eastAsia" w:ascii="微软雅黑" w:hAnsi="微软雅黑" w:eastAsia="微软雅黑" w:cs="微软雅黑"/>
                <w:kern w:val="0"/>
                <w:sz w:val="20"/>
                <w:szCs w:val="20"/>
              </w:rPr>
              <w:t>insertsize</w:t>
            </w:r>
            <w:bookmarkEnd w:id="38"/>
          </w:p>
        </w:tc>
        <w:tc>
          <w:tcPr>
            <w:tcW w:w="1319" w:type="pct"/>
            <w:tcBorders>
              <w:top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覆盖均一性</w:t>
            </w:r>
          </w:p>
        </w:tc>
        <w:tc>
          <w:tcPr>
            <w:tcW w:w="1180" w:type="pct"/>
            <w:tcBorders>
              <w:top w:val="single" w:color="F1F1F1" w:themeColor="background1" w:themeShade="F2" w:sz="4" w:space="0"/>
              <w:bottom w:val="single" w:color="F1F1F1" w:themeColor="background1" w:themeShade="F2"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9" w:name="coverage"/>
            <w:r>
              <w:rPr>
                <w:rFonts w:hint="eastAsia" w:ascii="微软雅黑" w:hAnsi="微软雅黑" w:eastAsia="微软雅黑" w:cs="微软雅黑"/>
                <w:kern w:val="0"/>
                <w:sz w:val="20"/>
                <w:szCs w:val="20"/>
              </w:rPr>
              <w:t>coverage</w:t>
            </w:r>
            <w:bookmarkEnd w:id="39"/>
          </w:p>
        </w:tc>
        <w:tc>
          <w:tcPr>
            <w:tcW w:w="1319" w:type="pct"/>
            <w:tcBorders>
              <w:top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序列回帖比率</w:t>
            </w:r>
          </w:p>
        </w:tc>
        <w:tc>
          <w:tcPr>
            <w:tcW w:w="1180" w:type="pct"/>
            <w:tcBorders>
              <w:top w:val="single" w:color="F1F1F1" w:themeColor="background1" w:themeShade="F2" w:sz="4" w:space="0"/>
              <w:bottom w:val="single" w:color="F1F1F1" w:themeColor="background1" w:themeShade="F2" w:sz="4" w:space="0"/>
            </w:tcBorders>
            <w:shd w:val="clear" w:color="auto" w:fill="auto"/>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0" w:name="mapping"/>
            <w:r>
              <w:rPr>
                <w:rFonts w:hint="eastAsia" w:ascii="微软雅黑" w:hAnsi="微软雅黑" w:eastAsia="微软雅黑" w:cs="微软雅黑"/>
                <w:kern w:val="0"/>
                <w:sz w:val="20"/>
                <w:szCs w:val="20"/>
              </w:rPr>
              <w:t>m</w:t>
            </w:r>
            <w:r>
              <w:rPr>
                <w:rFonts w:ascii="微软雅黑" w:hAnsi="微软雅黑" w:eastAsia="微软雅黑" w:cs="微软雅黑"/>
                <w:kern w:val="0"/>
                <w:sz w:val="20"/>
                <w:szCs w:val="20"/>
              </w:rPr>
              <w:t>apping</w:t>
            </w:r>
            <w:bookmarkEnd w:id="40"/>
          </w:p>
        </w:tc>
        <w:tc>
          <w:tcPr>
            <w:tcW w:w="1319" w:type="pct"/>
            <w:tcBorders>
              <w:top w:val="single" w:color="F1F1F1" w:themeColor="background1" w:themeShade="F2" w:sz="4" w:space="0"/>
              <w:bottom w:val="single" w:color="F1F1F1" w:themeColor="background1" w:themeShade="F2"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w:t>
            </w:r>
            <w:r>
              <w:rPr>
                <w:rFonts w:ascii="微软雅黑" w:hAnsi="微软雅黑" w:eastAsia="微软雅黑" w:cs="微软雅黑"/>
                <w:kern w:val="0"/>
                <w:sz w:val="20"/>
                <w:szCs w:val="20"/>
              </w:rPr>
              <w:t>5</w:t>
            </w:r>
            <w:r>
              <w:rPr>
                <w:rFonts w:hint="eastAsia" w:ascii="微软雅黑" w:hAnsi="微软雅黑" w:eastAsia="微软雅黑" w:cs="微软雅黑"/>
                <w:kern w:val="0"/>
                <w:sz w:val="20"/>
                <w:szCs w:val="20"/>
              </w:rPr>
              <w:t>%</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碱基质量Q</w:t>
            </w:r>
            <w:r>
              <w:rPr>
                <w:rFonts w:ascii="微软雅黑" w:hAnsi="微软雅黑" w:eastAsia="微软雅黑" w:cs="微软雅黑"/>
                <w:kern w:val="0"/>
                <w:sz w:val="20"/>
                <w:szCs w:val="20"/>
              </w:rPr>
              <w:t>30</w:t>
            </w:r>
            <w:r>
              <w:rPr>
                <w:rFonts w:hint="eastAsia" w:ascii="微软雅黑" w:hAnsi="微软雅黑" w:eastAsia="微软雅黑" w:cs="微软雅黑"/>
                <w:kern w:val="0"/>
                <w:sz w:val="20"/>
                <w:szCs w:val="20"/>
              </w:rPr>
              <w:t>占比</w:t>
            </w:r>
          </w:p>
        </w:tc>
        <w:tc>
          <w:tcPr>
            <w:tcW w:w="1180" w:type="pct"/>
            <w:tcBorders>
              <w:top w:val="single" w:color="F1F1F1" w:themeColor="background1" w:themeShade="F2" w:sz="4" w:space="0"/>
              <w:bottom w:val="single" w:color="F1F1F1" w:themeColor="background1" w:themeShade="F2"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1" w:name="q30"/>
            <w:r>
              <w:rPr>
                <w:rFonts w:ascii="微软雅黑" w:hAnsi="微软雅黑" w:eastAsia="微软雅黑" w:cs="微软雅黑"/>
                <w:kern w:val="0"/>
                <w:sz w:val="20"/>
                <w:szCs w:val="20"/>
              </w:rPr>
              <w:t>Q30</w:t>
            </w:r>
            <w:bookmarkEnd w:id="41"/>
          </w:p>
        </w:tc>
        <w:tc>
          <w:tcPr>
            <w:tcW w:w="1319" w:type="pct"/>
            <w:tcBorders>
              <w:top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8</w:t>
            </w:r>
            <w:r>
              <w:rPr>
                <w:rFonts w:hint="eastAsia" w:ascii="微软雅黑" w:hAnsi="微软雅黑" w:eastAsia="微软雅黑" w:cs="微软雅黑"/>
                <w:kern w:val="0"/>
                <w:sz w:val="20"/>
                <w:szCs w:val="20"/>
              </w:rPr>
              <w:t>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配对样本纯合子一致性</w:t>
            </w:r>
          </w:p>
        </w:tc>
        <w:tc>
          <w:tcPr>
            <w:tcW w:w="1180" w:type="pct"/>
            <w:tcBorders>
              <w:top w:val="single" w:color="F1F1F1" w:themeColor="background1" w:themeShade="F2" w:sz="4" w:space="0"/>
              <w:bottom w:val="single" w:color="F1F1F1" w:themeColor="background1" w:themeShade="F2"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c>
          <w:tcPr>
            <w:tcW w:w="1319" w:type="pct"/>
            <w:tcBorders>
              <w:top w:val="single" w:color="F1F1F1" w:themeColor="background1" w:themeShade="F2" w:sz="4" w:space="0"/>
              <w:bottom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single" w:color="E6E6E6" w:sz="4" w:space="0"/>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总体质量评估</w:t>
            </w:r>
          </w:p>
        </w:tc>
        <w:tc>
          <w:tcPr>
            <w:tcW w:w="3889" w:type="pct"/>
            <w:gridSpan w:val="3"/>
            <w:tcBorders>
              <w:top w:val="single" w:color="F1F1F1" w:themeColor="background1" w:themeShade="F2" w:sz="4" w:space="0"/>
              <w:left w:val="single" w:color="F1F1F1" w:themeColor="background1" w:themeShade="F2" w:sz="4" w:space="0"/>
              <w:bottom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Hans"/>
              </w:rPr>
            </w:pPr>
            <w:r>
              <w:rPr>
                <w:rFonts w:hint="eastAsia" w:ascii="微软雅黑" w:hAnsi="微软雅黑" w:eastAsia="微软雅黑" w:cs="微软雅黑"/>
                <w:b/>
                <w:bCs/>
                <w:kern w:val="0"/>
                <w:sz w:val="20"/>
                <w:szCs w:val="20"/>
                <w:lang w:val="en-US" w:eastAsia="zh-Hans"/>
              </w:rPr>
              <w:t>合格</w:t>
            </w:r>
          </w:p>
        </w:tc>
      </w:tr>
    </w:tbl>
    <w:p>
      <w:pPr>
        <w:rPr>
          <w:rFonts w:asciiTheme="majorEastAsia" w:hAnsiTheme="majorEastAsia" w:eastAsiaTheme="majorEastAsia" w:cstheme="majorEastAsia"/>
          <w:kern w:val="0"/>
          <w:sz w:val="20"/>
          <w:szCs w:val="20"/>
        </w:rPr>
      </w:pP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【参数说明】</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-恶性肿瘤细胞占比：HE染色评估样本中恶性肿瘤占比；如样本不满足评估条件，则跳过此项。血液样本不适用。</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-DNA总量：送检样本提取的DNA总量（区分组织/血液），单位为ng。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w:t>
      </w:r>
      <w:r>
        <w:rPr>
          <w:rFonts w:asciiTheme="majorEastAsia" w:hAnsiTheme="majorEastAsia" w:eastAsiaTheme="majorEastAsia" w:cstheme="majorEastAsia"/>
          <w:kern w:val="0"/>
          <w:sz w:val="18"/>
          <w:szCs w:val="18"/>
        </w:rPr>
        <w:t>DNA</w:t>
      </w:r>
      <w:r>
        <w:rPr>
          <w:rFonts w:hint="eastAsia" w:asciiTheme="majorEastAsia" w:hAnsiTheme="majorEastAsia" w:eastAsiaTheme="majorEastAsia" w:cstheme="majorEastAsia"/>
          <w:kern w:val="0"/>
          <w:sz w:val="18"/>
          <w:szCs w:val="18"/>
        </w:rPr>
        <w:t>片段降解程度：评估送检样本提取的DNA质量。降解程度越低，表明DNA抽提的效果越好。</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-预文库总量：文库构建后，原始核算加接头纯化后得到的基因序列的中间产物的总量，单位为ng。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-平均测序深度：测序得到的目标区域碱基数与目标区域基因组大小的比值（区分组织/血液）。</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-文库多样性：唯一回帖的序列数与测序总序列数的比值。</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-插入片段长度：文库构建后，测序接头中插入的DNA片段长度，单位为bp。</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-覆盖均一性：各位点的实际测序深度偏离平均深度的程度。一般用0.</w:t>
      </w:r>
      <w:r>
        <w:rPr>
          <w:rFonts w:asciiTheme="majorEastAsia" w:hAnsiTheme="majorEastAsia" w:eastAsiaTheme="majorEastAsia" w:cstheme="majorEastAsia"/>
          <w:kern w:val="0"/>
          <w:sz w:val="18"/>
          <w:szCs w:val="18"/>
        </w:rPr>
        <w:t>1</w:t>
      </w:r>
      <w:r>
        <w:rPr>
          <w:rFonts w:hint="eastAsia" w:asciiTheme="majorEastAsia" w:hAnsiTheme="majorEastAsia" w:eastAsiaTheme="majorEastAsia" w:cstheme="majorEastAsia"/>
          <w:kern w:val="0"/>
          <w:sz w:val="18"/>
          <w:szCs w:val="18"/>
        </w:rPr>
        <w:t>X测序深度的覆盖比例表示。</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-序列回帖比率：成功比对到参考基因组的序列比例。</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-碱基质量Q30占比：测序数据中碱基质量在Q30以上（即错误率在千分之一以下）的占比。</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-配对样本纯合子一致性：肿瘤和对照样本的纯合子一致性。</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-总体质量评估：结合以上评估参数进行综合评估，总体质量从高到低分为合格、警示、不合格共</w:t>
      </w:r>
      <w:r>
        <w:rPr>
          <w:rFonts w:asciiTheme="majorEastAsia" w:hAnsiTheme="majorEastAsia" w:eastAsiaTheme="majorEastAsia" w:cstheme="majorEastAsia"/>
          <w:kern w:val="0"/>
          <w:sz w:val="18"/>
          <w:szCs w:val="18"/>
        </w:rPr>
        <w:t>3</w:t>
      </w:r>
      <w:r>
        <w:rPr>
          <w:rFonts w:hint="eastAsia" w:asciiTheme="majorEastAsia" w:hAnsiTheme="majorEastAsia" w:eastAsiaTheme="majorEastAsia" w:cstheme="majorEastAsia"/>
          <w:kern w:val="0"/>
          <w:sz w:val="18"/>
          <w:szCs w:val="18"/>
        </w:rPr>
        <w:t>个等级。</w:t>
      </w:r>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微软雅黑" w:eastAsiaTheme="majorEastAsia"/>
          <w:kern w:val="0"/>
          <w:sz w:val="22"/>
          <w:szCs w:val="22"/>
          <w:lang w:val="en-US" w:eastAsia="zh-CN"/>
        </w:rPr>
      </w:pPr>
      <w:bookmarkStart w:id="42" w:name="_Toc8420"/>
      <w:bookmarkStart w:id="43" w:name="_Toc1767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6310" cy="414655"/>
                <wp:effectExtent l="0" t="0" r="0" b="4445"/>
                <wp:docPr id="80" name="矩形 12"/>
                <wp:cNvGraphicFramePr/>
                <a:graphic xmlns:a="http://schemas.openxmlformats.org/drawingml/2006/main">
                  <a:graphicData uri="http://schemas.microsoft.com/office/word/2010/wordprocessingShape">
                    <wps:wsp>
                      <wps:cNvSpPr/>
                      <wps:spPr>
                        <a:xfrm>
                          <a:off x="0" y="0"/>
                          <a:ext cx="956733" cy="414866"/>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65pt;width:75.3pt;v-text-anchor:middle;" fillcolor="#35699B" filled="t" stroked="f" coordsize="21600,21600" o:gfxdata="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5KaqPTAAAABAEA&#10;AA8AAAAAAAAAAQAgAAAAOAAAAGRycy9kb3ducmV2LnhtbFBLAQIUABQAAAAIAIdO4kA9X5oRewIA&#10;AOU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检测方法</w:t>
      </w:r>
      <w:bookmarkEnd w:id="42"/>
      <w:bookmarkEnd w:id="43"/>
    </w:p>
    <w:p>
      <w:pPr>
        <w:autoSpaceDE w:val="0"/>
        <w:autoSpaceDN w:val="0"/>
        <w:adjustRightInd w:val="0"/>
        <w:snapToGrid w:val="0"/>
        <w:ind w:firstLine="200" w:firstLineChars="200"/>
        <w:jc w:val="left"/>
        <w:rPr>
          <w:rFonts w:ascii="微软雅黑" w:hAnsi="微软雅黑" w:eastAsia="微软雅黑" w:cs="微软雅黑"/>
          <w:kern w:val="0"/>
          <w:sz w:val="10"/>
          <w:szCs w:val="10"/>
          <w:lang w:eastAsia="en-US"/>
        </w:rPr>
      </w:pP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次检测采用目标区域捕获+高通量测序结合免疫组织化学法（IHC）的多维度检测技术对样本进行检测。本次检测可以覆盖目标基因捕获区域的单核苷酸变异、短片段插入或缺失变异、基因拷贝数变异以及探针覆盖范围内的基因重排。</w:t>
      </w: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目标区域捕获+高通量测序：NGS又称大规模平行测序（MPS），包含多种可以一次性产生大量数字化基因序列的测序技术，是继Sanger测序的革命性进步，采用平行测序的理念，能够同时对上百万甚至数十亿个DNA分子进行测序，实现了大规模、高通量测序的目标。不同厂家的产品测序原理不同，主要分为边合成边测序（Sequencingbysynthesis，SBS）、基于“DNA簇”和“可逆性末端终结（ReversibleTerminator）大规模平行测序、4色荧光标记寡核苷酸的连续连接反应测序和半导体芯片测序。</w:t>
      </w:r>
    </w:p>
    <w:p>
      <w:pPr>
        <w:autoSpaceDE w:val="0"/>
        <w:autoSpaceDN w:val="0"/>
        <w:adjustRightInd w:val="0"/>
        <w:snapToGrid w:val="0"/>
        <w:spacing w:line="288" w:lineRule="auto"/>
        <w:ind w:firstLine="440" w:firstLineChars="200"/>
        <w:jc w:val="left"/>
        <w:rPr>
          <w:rFonts w:hint="eastAsia" w:ascii="微软雅黑" w:hAnsi="微软雅黑" w:eastAsia="微软雅黑" w:cs="微软雅黑"/>
          <w:kern w:val="0"/>
          <w:sz w:val="22"/>
          <w:szCs w:val="22"/>
        </w:rPr>
      </w:pPr>
      <w:r>
        <w:rPr>
          <w:rFonts w:hint="eastAsia" w:ascii="微软雅黑" w:hAnsi="微软雅黑" w:eastAsia="微软雅黑" w:cs="微软雅黑"/>
          <w:kern w:val="0"/>
          <w:sz w:val="22"/>
          <w:szCs w:val="22"/>
        </w:rPr>
        <w:t>免疫组织化学法（IHC）：免疫组化（Immunohistochemistry，IHC）分析利用抗体和抗原之间的结合的高度特异性，借助于组织化学的方法将抗原抗体结合的部位和强度显示出来，以其达到对组织或细胞中的相应抗原进行定性、定位或定量的研究。IHC作为筛查工具优于FISH，具有经济快捷的优点，尤其适用于大量样本的检测分析。影响IHC结果的因素主要包括抗体的选择、检测前组织的固定，观察者解释方面的差别等。</w:t>
      </w:r>
    </w:p>
    <w:p>
      <w:pPr>
        <w:autoSpaceDE w:val="0"/>
        <w:autoSpaceDN w:val="0"/>
        <w:adjustRightInd w:val="0"/>
        <w:snapToGrid w:val="0"/>
        <w:spacing w:line="288" w:lineRule="auto"/>
        <w:jc w:val="left"/>
        <w:rPr>
          <w:rFonts w:hint="eastAsia" w:ascii="微软雅黑" w:hAnsi="微软雅黑" w:eastAsia="微软雅黑" w:cs="微软雅黑"/>
          <w:kern w:val="0"/>
          <w:sz w:val="22"/>
          <w:szCs w:val="22"/>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1"/>
        <w:rPr>
          <w:rFonts w:hint="default" w:ascii="微软雅黑" w:hAnsi="微软雅黑" w:cs="微软雅黑" w:eastAsiaTheme="majorEastAsia"/>
          <w:kern w:val="0"/>
          <w:sz w:val="22"/>
          <w:szCs w:val="22"/>
          <w:lang w:val="en-US" w:eastAsia="zh-CN"/>
        </w:rPr>
      </w:pPr>
      <w:bookmarkStart w:id="44" w:name="_Toc7940"/>
      <w:bookmarkStart w:id="45" w:name="_Toc1863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0" b="5715"/>
                <wp:docPr id="93"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BFJe52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6b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RSXudnwC&#10;AADlBAAADgAAAAAAAAABACAAAAA4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检测声明</w:t>
      </w:r>
      <w:bookmarkEnd w:id="44"/>
      <w:bookmarkEnd w:id="45"/>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1.报告阅读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本报告主要检测肿瘤治疗相关基因的变异情况。报告给出的变异信息（和无变异信息）可为临床医生对受检者的治疗提供参考，受检者请在临床医生的指导下阅读本报告。</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2.基因变异和药物说明</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一个生物标志物变异的发现并不意味着必定会对某一药物或疗法有效，同样没有检测到生物标志物也不代表一定会对任何药物或疗法都无效。本报告中任何一个标志变异和潜在有效或无效药物均不按照先后顺序排名。潜在临床受益或无效药物的证据来源或等级不做评估。</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3.治疗方案由医生决策</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提及到的药物可能对某一特定患者并不适应。任何一个或所有潜在有效药物的选取或无效药物的弃选都由医生慎重决定。临床医生在给出推荐治疗方案时，需要综合考虑本检测报告细信息和患者其他相关信息。</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4.次生危害不予赔偿</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在检测过程中及知晓检测结果后，因自身心理或生理因素可能引起受检者出现不同程度的精神压力和负担，由此产生的次生危害，检测机构不承担任何责任。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5.信息保密</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检验所将妥善保存与受检者个人身份有关的资料，并且保证不会泄露给第三方机构。</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6.其他</w:t>
      </w:r>
    </w:p>
    <w:p>
      <w:pPr>
        <w:autoSpaceDE w:val="0"/>
        <w:autoSpaceDN w:val="0"/>
        <w:adjustRightInd w:val="0"/>
        <w:snapToGrid w:val="0"/>
        <w:spacing w:before="120" w:beforeLines="50" w:after="120" w:afterLines="50" w:line="288" w:lineRule="auto"/>
        <w:ind w:firstLine="424" w:firstLineChars="193"/>
        <w:jc w:val="left"/>
        <w:rPr>
          <w:rFonts w:ascii="微软雅黑" w:hAnsi="微软雅黑" w:eastAsia="微软雅黑" w:cs="微软雅黑"/>
          <w:b/>
          <w:bCs/>
          <w:kern w:val="0"/>
          <w:sz w:val="10"/>
          <w:szCs w:val="10"/>
        </w:rPr>
      </w:pPr>
      <w:r>
        <w:rPr>
          <w:rFonts w:hint="eastAsia" w:ascii="微软雅黑" w:hAnsi="微软雅黑" w:eastAsia="微软雅黑" w:cs="微软雅黑"/>
          <w:kern w:val="0"/>
          <w:sz w:val="22"/>
          <w:szCs w:val="22"/>
        </w:rPr>
        <w:t>患者的治疗决策必须基于医生的医学判断，并遵照医院给出的护理标准。医生的决策不能仅依赖于某一单个监测，如此次检测和本报告中给出的信息。本报告不是临床诊断报告，不具备医嘱性质，供医生参考治疗方案由医生决策。</w:t>
      </w:r>
    </w:p>
    <w:p>
      <w:pPr>
        <w:autoSpaceDE w:val="0"/>
        <w:autoSpaceDN w:val="0"/>
        <w:adjustRightInd w:val="0"/>
        <w:snapToGrid w:val="0"/>
        <w:jc w:val="left"/>
        <w:rPr>
          <w:rFonts w:ascii="微软雅黑" w:hAnsi="微软雅黑" w:eastAsia="微软雅黑" w:cs="微软雅黑"/>
          <w:b/>
          <w:bCs/>
          <w:kern w:val="0"/>
          <w:sz w:val="10"/>
          <w:szCs w:val="10"/>
        </w:rPr>
      </w:pPr>
    </w:p>
    <w:p>
      <w:pPr>
        <w:keepNext w:val="0"/>
        <w:keepLines w:val="0"/>
        <w:pageBreakBefore w:val="0"/>
        <w:widowControl w:val="0"/>
        <w:kinsoku/>
        <w:wordWrap/>
        <w:overflowPunct/>
        <w:topLinePunct w:val="0"/>
        <w:autoSpaceDE w:val="0"/>
        <w:autoSpaceDN w:val="0"/>
        <w:bidi w:val="0"/>
        <w:adjustRightInd w:val="0"/>
        <w:snapToGrid w:val="0"/>
        <w:spacing w:before="240" w:beforeLines="100" w:after="240" w:afterLines="100" w:line="40" w:lineRule="atLeast"/>
        <w:jc w:val="left"/>
        <w:textAlignment w:val="auto"/>
        <w:outlineLvl w:val="1"/>
        <w:rPr>
          <w:rFonts w:hint="default" w:ascii="微软雅黑" w:hAnsi="微软雅黑" w:cs="微软雅黑" w:eastAsiaTheme="majorEastAsia"/>
          <w:b/>
          <w:bCs/>
          <w:kern w:val="0"/>
          <w:sz w:val="22"/>
          <w:szCs w:val="22"/>
          <w:lang w:val="en-US" w:eastAsia="zh-CN"/>
        </w:rPr>
      </w:pPr>
      <w:bookmarkStart w:id="46" w:name="_Toc15707"/>
      <w:bookmarkStart w:id="47" w:name="_Toc22633"/>
      <w:r>
        <w:rPr>
          <w:rFonts w:ascii="楷体" w:hAnsi="楷体" w:eastAsia="楷体" w:cs="楷体"/>
          <w:sz w:val="24"/>
        </w:rPr>
        <w:drawing>
          <wp:anchor distT="0" distB="0" distL="114300" distR="114300" simplePos="0" relativeHeight="251668480" behindDoc="0" locked="0" layoutInCell="1" allowOverlap="1">
            <wp:simplePos x="0" y="0"/>
            <wp:positionH relativeFrom="column">
              <wp:posOffset>3756660</wp:posOffset>
            </wp:positionH>
            <wp:positionV relativeFrom="paragraph">
              <wp:posOffset>625475</wp:posOffset>
            </wp:positionV>
            <wp:extent cx="1440180" cy="1440180"/>
            <wp:effectExtent l="0" t="0" r="762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1270" b="5715"/>
                <wp:docPr id="9"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AJt/jgewIAAOQEAAAOAAAA&#10;ZHJzL2Uyb0RvYy54bWytVM1uEzEQviPxDpbvdJMlTZu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bsdrzTAAAABAEA&#10;AA8AAAAAAAAAAQAgAAAAOAAAAGRycy9kb3ducmV2LnhtbFBLAQIUABQAAAAIAIdO4kAJt/jgewIA&#10;AOQ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报告审核</w:t>
      </w:r>
      <w:bookmarkEnd w:id="46"/>
      <w:bookmarkEnd w:id="47"/>
    </w:p>
    <w:p>
      <w:pPr>
        <w:autoSpaceDE w:val="0"/>
        <w:autoSpaceDN w:val="0"/>
        <w:adjustRightInd w:val="0"/>
        <w:snapToGrid w:val="0"/>
        <w:jc w:val="left"/>
        <w:rPr>
          <w:rFonts w:ascii="微软雅黑" w:hAnsi="微软雅黑" w:eastAsia="微软雅黑" w:cs="微软雅黑"/>
          <w:kern w:val="0"/>
          <w:sz w:val="22"/>
          <w:szCs w:val="22"/>
        </w:rPr>
      </w:pPr>
    </w:p>
    <w:p>
      <w:pPr>
        <w:autoSpaceDE w:val="0"/>
        <w:autoSpaceDN w:val="0"/>
        <w:adjustRightInd w:val="0"/>
        <w:snapToGrid w:val="0"/>
        <w:jc w:val="left"/>
        <w:rPr>
          <w:rFonts w:ascii="微软雅黑" w:hAnsi="微软雅黑" w:eastAsia="微软雅黑" w:cs="微软雅黑"/>
          <w:kern w:val="0"/>
          <w:sz w:val="22"/>
          <w:szCs w:val="22"/>
        </w:rPr>
      </w:pPr>
      <w:r>
        <w:rPr>
          <w:rFonts w:ascii="微软雅黑" w:hAnsi="微软雅黑" w:eastAsia="微软雅黑" w:cs="微软雅黑"/>
          <w:kern w:val="0"/>
          <w:sz w:val="22"/>
          <w:szCs w:val="22"/>
        </w:rPr>
        <w:drawing>
          <wp:anchor distT="0" distB="0" distL="114300" distR="114300" simplePos="0" relativeHeight="251671552" behindDoc="1" locked="0" layoutInCell="1" allowOverlap="1">
            <wp:simplePos x="0" y="0"/>
            <wp:positionH relativeFrom="column">
              <wp:posOffset>3244215</wp:posOffset>
            </wp:positionH>
            <wp:positionV relativeFrom="paragraph">
              <wp:posOffset>96520</wp:posOffset>
            </wp:positionV>
            <wp:extent cx="730250" cy="252095"/>
            <wp:effectExtent l="0" t="0" r="0" b="0"/>
            <wp:wrapNone/>
            <wp:docPr id="17" name="图片 17" descr="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白板&#10;&#10;描述已自动生成"/>
                    <pic:cNvPicPr>
                      <a:picLocks noChangeAspect="1"/>
                    </pic:cNvPicPr>
                  </pic:nvPicPr>
                  <pic:blipFill>
                    <a:blip r:embed="rId10" cstate="print">
                      <a:extLst>
                        <a:ext uri="{28A0092B-C50C-407E-A947-70E740481C1C}">
                          <a14:useLocalDpi xmlns:a14="http://schemas.microsoft.com/office/drawing/2010/main" val="0"/>
                        </a:ext>
                      </a:extLst>
                    </a:blip>
                    <a:srcRect l="1693" t="17219" r="43512" b="17044"/>
                    <a:stretch>
                      <a:fillRect/>
                    </a:stretch>
                  </pic:blipFill>
                  <pic:spPr>
                    <a:xfrm>
                      <a:off x="0" y="0"/>
                      <a:ext cx="730374" cy="252374"/>
                    </a:xfrm>
                    <a:prstGeom prst="rect">
                      <a:avLst/>
                    </a:prstGeom>
                    <a:ln>
                      <a:noFill/>
                    </a:ln>
                  </pic:spPr>
                </pic:pic>
              </a:graphicData>
            </a:graphic>
          </wp:anchor>
        </w:drawing>
      </w:r>
      <w:r>
        <w:rPr>
          <w:rFonts w:ascii="微软雅黑" w:hAnsi="微软雅黑" w:eastAsia="微软雅黑" w:cs="微软雅黑"/>
          <w:kern w:val="0"/>
          <w:sz w:val="22"/>
          <w:szCs w:val="22"/>
        </w:rPr>
        <w:drawing>
          <wp:anchor distT="0" distB="0" distL="114300" distR="114300" simplePos="0" relativeHeight="251669504" behindDoc="0" locked="0" layoutInCell="1" allowOverlap="1">
            <wp:simplePos x="0" y="0"/>
            <wp:positionH relativeFrom="column">
              <wp:posOffset>592455</wp:posOffset>
            </wp:positionH>
            <wp:positionV relativeFrom="paragraph">
              <wp:posOffset>144145</wp:posOffset>
            </wp:positionV>
            <wp:extent cx="446405" cy="244475"/>
            <wp:effectExtent l="0" t="0" r="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cstate="print">
                      <a:extLst>
                        <a:ext uri="{28A0092B-C50C-407E-A947-70E740481C1C}">
                          <a14:useLocalDpi xmlns:a14="http://schemas.microsoft.com/office/drawing/2010/main" val="0"/>
                        </a:ext>
                      </a:extLst>
                    </a:blip>
                    <a:srcRect l="4516" t="18198" r="60780" b="15478"/>
                    <a:stretch>
                      <a:fillRect/>
                    </a:stretch>
                  </pic:blipFill>
                  <pic:spPr>
                    <a:xfrm>
                      <a:off x="0" y="0"/>
                      <a:ext cx="446227" cy="244206"/>
                    </a:xfrm>
                    <a:prstGeom prst="rect">
                      <a:avLst/>
                    </a:prstGeom>
                    <a:ln>
                      <a:noFill/>
                    </a:ln>
                  </pic:spPr>
                </pic:pic>
              </a:graphicData>
            </a:graphic>
          </wp:anchor>
        </w:drawing>
      </w:r>
    </w:p>
    <w:tbl>
      <w:tblPr>
        <w:tblStyle w:val="10"/>
        <w:tblpPr w:leftFromText="180" w:rightFromText="180" w:vertAnchor="text" w:horzAnchor="margin" w:tblpY="-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4"/>
        <w:gridCol w:w="4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检测人：</w:t>
            </w:r>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复核人：</w:t>
            </w:r>
          </w:p>
          <w:p>
            <w:pPr>
              <w:autoSpaceDE w:val="0"/>
              <w:autoSpaceDN w:val="0"/>
              <w:adjustRightInd w:val="0"/>
              <w:snapToGrid w:val="0"/>
              <w:jc w:val="left"/>
              <w:rPr>
                <w:rFonts w:ascii="微软雅黑" w:hAnsi="微软雅黑" w:eastAsia="微软雅黑" w:cs="微软雅黑"/>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报告日期：</w:t>
            </w:r>
            <w:bookmarkStart w:id="48" w:name="date"/>
            <w:r>
              <w:rPr>
                <w:rFonts w:hint="eastAsia" w:ascii="微软雅黑" w:hAnsi="微软雅黑" w:eastAsia="微软雅黑" w:cs="微软雅黑"/>
                <w:kern w:val="0"/>
                <w:sz w:val="22"/>
                <w:szCs w:val="22"/>
              </w:rPr>
              <w:t>date</w:t>
            </w:r>
            <w:bookmarkEnd w:id="48"/>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检测机构：上海解码医学检验所（章）</w:t>
            </w:r>
          </w:p>
          <w:p>
            <w:pPr>
              <w:autoSpaceDE w:val="0"/>
              <w:autoSpaceDN w:val="0"/>
              <w:adjustRightInd w:val="0"/>
              <w:snapToGrid w:val="0"/>
              <w:jc w:val="left"/>
              <w:rPr>
                <w:rFonts w:ascii="微软雅黑" w:hAnsi="微软雅黑" w:eastAsia="微软雅黑" w:cs="微软雅黑"/>
                <w:kern w:val="0"/>
                <w:sz w:val="22"/>
                <w:szCs w:val="22"/>
              </w:rPr>
            </w:pPr>
          </w:p>
        </w:tc>
      </w:tr>
    </w:tbl>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6672"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5" name="图片 1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b/>
          <w:bCs/>
          <w:color w:val="35699B"/>
          <w:kern w:val="44"/>
          <w:sz w:val="70"/>
          <w:szCs w:val="70"/>
          <w:lang w:val="en-US" w:eastAsia="zh-CN" w:bidi="ar-SA"/>
        </w:rPr>
      </w:pPr>
      <w:bookmarkStart w:id="49" w:name="_Toc26002"/>
      <w:bookmarkStart w:id="50" w:name="_Toc28893"/>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5648"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8" name="图片 1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4</w:t>
      </w:r>
      <w:r>
        <w:rPr>
          <w:rFonts w:hint="eastAsia" w:ascii="微软雅黑" w:hAnsi="微软雅黑" w:eastAsia="微软雅黑" w:cs="微软雅黑"/>
          <w:b/>
          <w:bCs/>
          <w:color w:val="35699B"/>
          <w:kern w:val="44"/>
          <w:sz w:val="70"/>
          <w:szCs w:val="70"/>
          <w:lang w:val="en-US" w:eastAsia="zh-CN" w:bidi="ar-SA"/>
        </w:rPr>
        <w:t xml:space="preserve"> - 附录</w:t>
      </w:r>
      <w:bookmarkEnd w:id="49"/>
      <w:bookmarkEnd w:id="50"/>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1" w:name="_Toc21535"/>
      <w:bookmarkStart w:id="52" w:name="_Toc1240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5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bvLJ5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基因列表</w:t>
      </w:r>
      <w:bookmarkEnd w:id="51"/>
      <w:bookmarkEnd w:id="52"/>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·本项目基因列表设计的主要依据本癌种和实体瘤靶向用药的相关指南、临床共识和实验室研究结果。</w:t>
      </w: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lang w:eastAsia="en-US"/>
        </w:rPr>
      </w:pPr>
      <w:r>
        <w:rPr>
          <w:rFonts w:hint="eastAsia" w:ascii="微软雅黑" w:hAnsi="微软雅黑" w:eastAsia="微软雅黑" w:cs="微软雅黑"/>
          <w:b/>
          <w:bCs/>
          <w:kern w:val="0"/>
          <w:sz w:val="22"/>
          <w:szCs w:val="22"/>
        </w:rPr>
        <w:t>·</w:t>
      </w:r>
      <w:r>
        <w:rPr>
          <w:rFonts w:hint="eastAsia" w:ascii="微软雅黑" w:hAnsi="微软雅黑" w:eastAsia="微软雅黑" w:cs="微软雅黑"/>
          <w:b/>
          <w:bCs/>
          <w:kern w:val="0"/>
          <w:sz w:val="22"/>
          <w:szCs w:val="22"/>
          <w:lang w:eastAsia="en-US"/>
        </w:rPr>
        <w:t>靶向药相关基因</w:t>
      </w:r>
    </w:p>
    <w:tbl>
      <w:tblPr>
        <w:tblStyle w:val="9"/>
        <w:tblW w:w="4998" w:type="pct"/>
        <w:jc w:val="center"/>
        <w:tblBorders>
          <w:top w:val="none" w:color="auto" w:sz="0" w:space="0"/>
          <w:left w:val="none" w:color="auto" w:sz="0" w:space="0"/>
          <w:bottom w:val="single" w:color="F2F2F2" w:sz="4" w:space="0"/>
          <w:right w:val="single" w:color="FFFFFF" w:sz="4" w:space="0"/>
          <w:insideH w:val="none" w:color="auto" w:sz="0" w:space="0"/>
          <w:insideV w:val="single" w:color="FFFFFF" w:sz="4" w:space="0"/>
        </w:tblBorders>
        <w:tblLayout w:type="autofit"/>
        <w:tblCellMar>
          <w:top w:w="0" w:type="dxa"/>
          <w:left w:w="108" w:type="dxa"/>
          <w:bottom w:w="0" w:type="dxa"/>
          <w:right w:w="108" w:type="dxa"/>
        </w:tblCellMar>
      </w:tblPr>
      <w:tblGrid>
        <w:gridCol w:w="2256"/>
        <w:gridCol w:w="2257"/>
        <w:gridCol w:w="2257"/>
        <w:gridCol w:w="2257"/>
      </w:tblGrid>
      <w:tr>
        <w:trPr>
          <w:cantSplit/>
          <w:jc w:val="center"/>
        </w:trPr>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AKT1</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ALK</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hint="eastAsia" w:ascii="Arial" w:hAnsi="Arial" w:eastAsia="Arial" w:cs="Arial"/>
                <w:color w:val="000000"/>
                <w:sz w:val="18"/>
                <w:szCs w:val="18"/>
              </w:rPr>
              <w:t>BCL2L11</w:t>
            </w:r>
            <w:r>
              <w:rPr>
                <w:rFonts w:hint="eastAsia" w:ascii="宋体" w:hAnsi="宋体" w:eastAsia="宋体" w:cs="宋体"/>
                <w:color w:val="000000"/>
                <w:sz w:val="18"/>
                <w:szCs w:val="18"/>
              </w:rPr>
              <w:t>(</w:t>
            </w:r>
            <w:r>
              <w:rPr>
                <w:rFonts w:hint="eastAsia" w:ascii="Arial" w:hAnsi="Arial" w:eastAsia="Arial" w:cs="Arial"/>
                <w:color w:val="000000"/>
                <w:sz w:val="18"/>
                <w:szCs w:val="18"/>
              </w:rPr>
              <w:t>BIM</w:t>
            </w:r>
            <w:r>
              <w:rPr>
                <w:rFonts w:ascii="Arial" w:hAnsi="Arial" w:eastAsia="Arial" w:cs="Arial"/>
                <w:color w:val="000000"/>
                <w:sz w:val="18"/>
                <w:szCs w:val="18"/>
              </w:rPr>
              <w:t>)</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BRAF</w:t>
            </w:r>
          </w:p>
        </w:tc>
      </w:tr>
      <w:tr>
        <w:trPr>
          <w:cantSplit/>
          <w:jc w:val="center"/>
        </w:trPr>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EGFR</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ERBB2</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KRAS</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MAP2K1(MEK1)</w:t>
            </w:r>
          </w:p>
        </w:tc>
      </w:tr>
      <w:tr>
        <w:trPr>
          <w:cantSplit/>
          <w:jc w:val="center"/>
        </w:trPr>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MET</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NRAS</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NTRK1</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NTRK2</w:t>
            </w:r>
          </w:p>
        </w:tc>
      </w:tr>
      <w:tr>
        <w:trPr>
          <w:cantSplit/>
          <w:jc w:val="center"/>
        </w:trPr>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NTRK3</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RET</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ROS1</w:t>
            </w:r>
          </w:p>
        </w:tc>
        <w:tc>
          <w:tcPr>
            <w:tcW w:w="1250" w:type="pct"/>
            <w:shd w:val="clear" w:color="auto" w:fill="FFFFFF"/>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PTEN</w:t>
            </w:r>
          </w:p>
        </w:tc>
      </w:tr>
      <w:tr>
        <w:trPr>
          <w:cantSplit/>
          <w:jc w:val="center"/>
        </w:trPr>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PIK3CA</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hint="eastAsia"/>
                <w:sz w:val="18"/>
                <w:szCs w:val="18"/>
              </w:rPr>
              <w:t>-</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w:t>
            </w:r>
          </w:p>
        </w:tc>
        <w:tc>
          <w:tcPr>
            <w:tcW w:w="1250" w:type="pct"/>
            <w:shd w:val="clear" w:color="auto" w:fill="F2F2F2"/>
            <w:tcMar>
              <w:top w:w="0" w:type="dxa"/>
              <w:left w:w="0" w:type="dxa"/>
              <w:bottom w:w="0" w:type="dxa"/>
              <w:right w:w="0" w:type="dxa"/>
            </w:tcMar>
            <w:vAlign w:val="center"/>
          </w:tcPr>
          <w:p>
            <w:pPr>
              <w:spacing w:before="120" w:beforeLines="50" w:after="120" w:afterLines="50"/>
              <w:jc w:val="center"/>
              <w:rPr>
                <w:sz w:val="18"/>
                <w:szCs w:val="18"/>
              </w:rPr>
            </w:pPr>
            <w:r>
              <w:rPr>
                <w:rFonts w:ascii="Arial" w:hAnsi="Arial" w:eastAsia="Arial" w:cs="Arial"/>
                <w:color w:val="000000"/>
                <w:sz w:val="18"/>
                <w:szCs w:val="18"/>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rPr>
          <w:rFonts w:ascii="Calibri Light" w:hAnsi="Calibri Light" w:eastAsia="等线" w:cs="Calibri Light"/>
          <w:kern w:val="0"/>
          <w:sz w:val="20"/>
          <w:szCs w:val="20"/>
        </w:rPr>
      </w:pPr>
      <w:r>
        <w:rPr>
          <w:rFonts w:ascii="Calibri Light" w:hAnsi="Calibri Light" w:eastAsia="等线" w:cs="Calibri Light"/>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3" w:name="_Toc4668"/>
      <w:bookmarkStart w:id="54" w:name="_Toc1018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3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Kz3Ij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基因注释</w:t>
      </w:r>
      <w:bookmarkEnd w:id="53"/>
      <w:bookmarkEnd w:id="54"/>
    </w:p>
    <w:tbl>
      <w:tblPr>
        <w:tblStyle w:val="10"/>
        <w:tblW w:w="4867" w:type="pct"/>
        <w:jc w:val="center"/>
        <w:tblBorders>
          <w:top w:val="single" w:color="E6E6E6" w:sz="4" w:space="0"/>
          <w:left w:val="none" w:color="auto" w:sz="0" w:space="0"/>
          <w:bottom w:val="none" w:color="auto" w:sz="0" w:space="0"/>
          <w:right w:val="none" w:color="auto" w:sz="0" w:space="0"/>
          <w:insideH w:val="none" w:color="auto" w:sz="0" w:space="0"/>
          <w:insideV w:val="single" w:color="FFFFFF" w:sz="4" w:space="0"/>
        </w:tblBorders>
        <w:tblLayout w:type="fixed"/>
        <w:tblCellMar>
          <w:top w:w="0" w:type="dxa"/>
          <w:left w:w="108" w:type="dxa"/>
          <w:bottom w:w="0" w:type="dxa"/>
          <w:right w:w="108" w:type="dxa"/>
        </w:tblCellMar>
      </w:tblPr>
      <w:tblGrid>
        <w:gridCol w:w="1189"/>
        <w:gridCol w:w="7807"/>
      </w:tblGrid>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CFDAE6"/>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color w:val="auto"/>
                <w:kern w:val="0"/>
                <w:sz w:val="22"/>
                <w:szCs w:val="22"/>
                <w:lang w:val="en-US" w:eastAsia="zh-CN"/>
              </w:rPr>
            </w:pPr>
            <w:r>
              <w:rPr>
                <w:rFonts w:hint="eastAsia" w:ascii="微软雅黑" w:hAnsi="微软雅黑" w:eastAsia="微软雅黑" w:cs="微软雅黑"/>
                <w:b/>
                <w:bCs/>
                <w:color w:val="auto"/>
                <w:kern w:val="0"/>
                <w:sz w:val="22"/>
                <w:szCs w:val="22"/>
                <w:lang w:val="en-US" w:eastAsia="zh-CN"/>
              </w:rPr>
              <w:t>基因名</w:t>
            </w:r>
          </w:p>
        </w:tc>
        <w:tc>
          <w:tcPr>
            <w:tcW w:w="4339" w:type="pct"/>
            <w:shd w:val="clear" w:color="auto" w:fill="CFDAE6"/>
          </w:tcPr>
          <w:p>
            <w:pPr>
              <w:keepNext w:val="0"/>
              <w:keepLines w:val="0"/>
              <w:pageBreakBefore w:val="0"/>
              <w:widowControl w:val="0"/>
              <w:kinsoku/>
              <w:wordWrap/>
              <w:overflowPunct/>
              <w:topLinePunct w:val="0"/>
              <w:autoSpaceDE w:val="0"/>
              <w:autoSpaceDN w:val="0"/>
              <w:bidi w:val="0"/>
              <w:adjustRightInd w:val="0"/>
              <w:snapToGrid w:val="0"/>
              <w:spacing w:before="80" w:after="80"/>
              <w:ind w:left="80" w:right="28"/>
              <w:jc w:val="center"/>
              <w:textAlignment w:val="auto"/>
              <w:rPr>
                <w:rFonts w:hint="eastAsia" w:ascii="微软雅黑" w:hAnsi="微软雅黑" w:eastAsia="微软雅黑" w:cs="微软雅黑"/>
                <w:b/>
                <w:bCs/>
                <w:color w:val="auto"/>
                <w:kern w:val="0"/>
                <w:sz w:val="22"/>
                <w:szCs w:val="22"/>
                <w:lang w:val="en-US" w:eastAsia="zh-CN"/>
              </w:rPr>
            </w:pPr>
            <w:r>
              <w:rPr>
                <w:rFonts w:hint="eastAsia" w:ascii="微软雅黑" w:hAnsi="微软雅黑" w:eastAsia="微软雅黑" w:cs="微软雅黑"/>
                <w:b/>
                <w:bCs/>
                <w:color w:val="auto"/>
                <w:kern w:val="0"/>
                <w:sz w:val="22"/>
                <w:szCs w:val="22"/>
                <w:lang w:val="en-US" w:eastAsia="zh-CN"/>
              </w:rPr>
              <w:t>注释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w:t>
            </w:r>
          </w:p>
        </w:tc>
        <w:tc>
          <w:tcPr>
            <w:tcW w:w="4339" w:type="pct"/>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AKT1也称为蛋白激酶B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或PKB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，是称为AKT激酶的3个紧密相关的AGC丝氨酸/苏氨酸激酶（AKT1/2/3或PKB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y）的成员。由AKT1原癌基因编码，该激酶被普遍表达，并且包含重要功能的N-末端PH结构域、中心丝氨酸/苏氨酸催化结构域和小C末端调节结构域。通过PH结构域膜募集到磷脂PI（3,4,5）P3来引发AKT1活化，导致AKT1的构象变化，其暴露两个关键氨基酸残基T308和S473用于磷酸化。T308的单磷酸化导致一些AKT底物的磷酸化;然而，完全AKT1激活仅在两种磷酸化事件之后才能实现。活化的AKT1可以磷酸化超过50种底物，包括MDM2，GSK3，P27，P21，CASP9，BAD，FKHR，IKK和MTOR基因。通过蛋白磷酸酶2A（PP2A）的作用实现AKT1的失活。AKT信号传导涉及几种通常在癌症中失调的过程，包括存活，增殖，血管生成，迁移，代谢和葡萄糖体内平衡。AKT1的主要功能之一是通过抑制mTOR的TSC1/2介导的抑制来促进mTOR信号传导。MTOR信号可以控制蛋白质合成，细胞增殖和细胞存活。AKT1通常在多种人类实体瘤和血液恶性肿瘤中被超激活，并成为治疗干预的目标。然而，由于AKT1信号传导影响许多重要的下游途径，例如葡萄糖代谢，治疗上靶向AKT1可能是一个挑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ALK</w:t>
            </w:r>
          </w:p>
        </w:tc>
        <w:tc>
          <w:tcPr>
            <w:tcW w:w="4339" w:type="pct"/>
            <w:shd w:val="clear" w:color="auto" w:fill="F1F1F1" w:themeFill="background1" w:themeFillShade="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ALK，即人类间变性淋巴瘤激酶(anaplastic</w:t>
            </w:r>
            <w:r>
              <w:rPr>
                <w:rFonts w:hint="eastAsia" w:ascii="微软雅黑" w:hAnsi="微软雅黑" w:eastAsia="微软雅黑" w:cs="微软雅黑"/>
                <w:kern w:val="0"/>
                <w:sz w:val="20"/>
                <w:szCs w:val="20"/>
                <w:lang w:val="en-US" w:eastAsia="zh-CN"/>
              </w:rPr>
              <w:t xml:space="preserve"> </w:t>
            </w:r>
            <w:r>
              <w:rPr>
                <w:rFonts w:hint="eastAsia" w:ascii="微软雅黑" w:hAnsi="微软雅黑" w:eastAsia="微软雅黑" w:cs="微软雅黑"/>
                <w:kern w:val="0"/>
                <w:sz w:val="20"/>
                <w:szCs w:val="20"/>
                <w:lang w:eastAsia="en-US"/>
              </w:rPr>
              <w:t>lymphoma</w:t>
            </w:r>
            <w:r>
              <w:rPr>
                <w:rFonts w:hint="eastAsia" w:ascii="微软雅黑" w:hAnsi="微软雅黑" w:eastAsia="微软雅黑" w:cs="微软雅黑"/>
                <w:kern w:val="0"/>
                <w:sz w:val="20"/>
                <w:szCs w:val="20"/>
                <w:lang w:val="en-US" w:eastAsia="zh-CN"/>
              </w:rPr>
              <w:t xml:space="preserve"> </w:t>
            </w:r>
            <w:r>
              <w:rPr>
                <w:rFonts w:hint="eastAsia" w:ascii="微软雅黑" w:hAnsi="微软雅黑" w:eastAsia="微软雅黑" w:cs="微软雅黑"/>
                <w:kern w:val="0"/>
                <w:sz w:val="20"/>
                <w:szCs w:val="20"/>
                <w:lang w:eastAsia="en-US"/>
              </w:rPr>
              <w:t>kinase，ALK)，于1994年首先发现于间变性大细胞淋巴瘤AMS3细胞株中，是由1620个氨基酸组成的跨膜蛋白，属于胰岛素受体家族。EML4是人类棘皮动物微管相关蛋白样4，属于棘皮动物微管相关蛋白样蛋白家族，由N末端碱基区、疏水的棘皮动物微管相关蛋白区及WD重复区三部分构成。</w:t>
            </w:r>
            <w:r>
              <w:rPr>
                <w:rFonts w:hint="eastAsia" w:ascii="微软雅黑" w:hAnsi="微软雅黑" w:eastAsia="微软雅黑" w:cs="微软雅黑"/>
                <w:kern w:val="0"/>
                <w:sz w:val="20"/>
                <w:szCs w:val="20"/>
              </w:rPr>
              <w:t>EML4-ALK</w:t>
            </w:r>
            <w:r>
              <w:rPr>
                <w:rFonts w:hint="eastAsia" w:ascii="微软雅黑" w:hAnsi="微软雅黑" w:eastAsia="微软雅黑" w:cs="微软雅黑"/>
                <w:kern w:val="0"/>
                <w:sz w:val="20"/>
                <w:szCs w:val="20"/>
                <w:lang w:eastAsia="en-US"/>
              </w:rPr>
              <w:t>融合基因定位于2号染色体的短臂上(2p21和2p23)，其5’端为EML4的片段，3’端为ALK的片段，由倒置后的EML4基因片段与残余的ALK片段连接。</w:t>
            </w:r>
            <w:r>
              <w:rPr>
                <w:rFonts w:hint="eastAsia" w:ascii="微软雅黑" w:hAnsi="微软雅黑" w:eastAsia="微软雅黑" w:cs="微软雅黑"/>
                <w:kern w:val="0"/>
                <w:sz w:val="20"/>
                <w:szCs w:val="20"/>
              </w:rPr>
              <w:t>该融合基因拥有EML4基因中的BASIC区域，疏水的棘皮动物微管相关蛋白区及部分WD重复区和ALK基因中的</w:t>
            </w:r>
            <w:r>
              <w:rPr>
                <w:rFonts w:hint="eastAsia" w:ascii="微软雅黑" w:hAnsi="微软雅黑" w:eastAsia="微软雅黑" w:cs="微软雅黑"/>
                <w:kern w:val="0"/>
                <w:sz w:val="20"/>
                <w:szCs w:val="20"/>
                <w:lang w:val="en-US" w:eastAsia="zh-CN"/>
              </w:rPr>
              <w:t>激酶</w:t>
            </w:r>
            <w:r>
              <w:rPr>
                <w:rFonts w:hint="eastAsia" w:ascii="微软雅黑" w:hAnsi="微软雅黑" w:eastAsia="微软雅黑" w:cs="微软雅黑"/>
                <w:kern w:val="0"/>
                <w:sz w:val="20"/>
                <w:szCs w:val="20"/>
              </w:rPr>
              <w:t>功能区。EML4-ALK的信号转导通路为PI3-K/A</w:t>
            </w:r>
            <w:r>
              <w:rPr>
                <w:rFonts w:hint="eastAsia" w:ascii="微软雅黑" w:hAnsi="微软雅黑" w:eastAsia="微软雅黑" w:cs="微软雅黑"/>
                <w:kern w:val="0"/>
                <w:sz w:val="20"/>
                <w:szCs w:val="20"/>
                <w:lang w:val="en-US" w:eastAsia="zh-CN"/>
              </w:rPr>
              <w:t>KT</w:t>
            </w:r>
            <w:r>
              <w:rPr>
                <w:rFonts w:hint="eastAsia" w:ascii="微软雅黑" w:hAnsi="微软雅黑" w:eastAsia="微软雅黑" w:cs="微软雅黑"/>
                <w:kern w:val="0"/>
                <w:sz w:val="20"/>
                <w:szCs w:val="20"/>
              </w:rPr>
              <w:t>、STAT3/5、Ras-MEK和PLC-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/PIP2等，这些通路与细胞存活、增殖和迁移密切相关。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BRAF</w:t>
            </w:r>
          </w:p>
        </w:tc>
        <w:tc>
          <w:tcPr>
            <w:tcW w:w="4339" w:type="pct"/>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BRAF基因是1988年由Ikawa等首先在人类尤因肉瘤中发现并克隆确认的一种能转染NIH3T3细胞且有活性的DNA序列。BRAF基因与ARAF、CRAF基因同属RAF家族，命名为鼠类肉瘤滤过性毒菌致癌同源体B1，位于人染色体7q34，长约190kb，编码783个氨基酸的蛋白，相对分子质量为84436，有CR1、CR2和CR3三个保守区。BRAF是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-R</w:t>
            </w:r>
            <w:r>
              <w:rPr>
                <w:rFonts w:hint="eastAsia" w:ascii="微软雅黑" w:hAnsi="微软雅黑" w:eastAsia="微软雅黑" w:cs="微软雅黑"/>
                <w:kern w:val="0"/>
                <w:sz w:val="20"/>
                <w:szCs w:val="20"/>
                <w:lang w:val="en-US" w:eastAsia="zh-CN"/>
              </w:rPr>
              <w:t>AF</w:t>
            </w:r>
            <w:r>
              <w:rPr>
                <w:rFonts w:hint="eastAsia" w:ascii="微软雅黑" w:hAnsi="微软雅黑" w:eastAsia="微软雅黑" w:cs="微软雅黑"/>
                <w:kern w:val="0"/>
                <w:sz w:val="20"/>
                <w:szCs w:val="20"/>
              </w:rPr>
              <w:t>-MEK-ERK信号转导通路重要的转导因子，具有功能的编码区由2510对碱基组成，主要通过有丝蛋白激酶通路中的丝氨酸苏氨酸蛋白激酶来发挥作用，该酶将细胞表面的受体和RAS蛋白通过MEK和ERK与核内的转录因子相连接，启动多种因子参与调控细胞内多种生物学事件，如细胞生长、分化和凋亡。研究表明，在多种人类恶性肿瘤中，如恶性黑色素瘤、结直肠癌、肺癌、甲状腺癌、肝癌及胰腺癌，均存在不同比例的BRAF突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EGFR</w:t>
            </w:r>
          </w:p>
        </w:tc>
        <w:tc>
          <w:tcPr>
            <w:tcW w:w="4339" w:type="pct"/>
            <w:shd w:val="clear" w:color="auto" w:fill="F1F1F1" w:themeFill="background1" w:themeFillShade="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表皮生长因子受体</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EGFR，也称为HER1/ERBB1</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是受体酪氨酸家族I成员，由三部分组成：含有配体结合位点的细胞外域、单次跨膜的疏水</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螺旋区、含有酪氨酸蛋白激酶(RTK)活性的细胞内结构域。EGFR属于ErbB细胞膜受体家族，该家族还包括：ERBB2、ERBB3以及ERBB4。至少有6种EGFR配体：EGF、TGF-a、HB-EGF、双调蛋白、</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细胞调节素和表皮调节素。与胞外配体结合激活EGFR后，EGFR能够通过多种信号通路进行胞内信号传导，这些信号通路包括RAS/RAF/MAPK，PI3K/AKT/mTOR以及STAT3。这些信号通路的激活能够促进细胞的增殖、迁移、分化，并能减少细胞死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ERBB2</w:t>
            </w:r>
          </w:p>
        </w:tc>
        <w:tc>
          <w:tcPr>
            <w:tcW w:w="4339" w:type="pct"/>
            <w:shd w:val="clear" w:color="auto" w:fill="auto"/>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原癌基因HER2位于染色体17q21，习惯上称为HER2/neu基因或c-erbB-2基因。编码分子量185kD的跨膜蛋白，因此被称为p185</w:t>
            </w:r>
            <w:r>
              <w:rPr>
                <w:rFonts w:hint="eastAsia" w:ascii="微软雅黑" w:hAnsi="微软雅黑" w:eastAsia="微软雅黑" w:cs="微软雅黑"/>
                <w:kern w:val="0"/>
                <w:sz w:val="20"/>
                <w:szCs w:val="20"/>
                <w:lang w:val="en-US" w:eastAsia="zh-CN"/>
              </w:rPr>
              <w:t xml:space="preserve"> </w:t>
            </w:r>
            <w:r>
              <w:rPr>
                <w:rFonts w:hint="eastAsia" w:ascii="微软雅黑" w:hAnsi="微软雅黑" w:eastAsia="微软雅黑" w:cs="微软雅黑"/>
                <w:kern w:val="0"/>
                <w:sz w:val="20"/>
                <w:szCs w:val="20"/>
                <w:lang w:eastAsia="en-US"/>
              </w:rPr>
              <w:t>HER2，是具有跨膜酪氨酸激酶活性的生长因子受体。</w:t>
            </w:r>
            <w:r>
              <w:rPr>
                <w:rFonts w:hint="eastAsia" w:ascii="微软雅黑" w:hAnsi="微软雅黑" w:eastAsia="微软雅黑" w:cs="微软雅黑"/>
                <w:kern w:val="0"/>
                <w:sz w:val="20"/>
                <w:szCs w:val="20"/>
              </w:rPr>
              <w:t>HER2受体介导的信号通路是一个复杂的网络系统，包括输入细胞层</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配体或生长因子</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、信息加工层</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受体，SH2蛋白，转录因子</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和输出层</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细胞生长，分化和转移</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。配体介导受体的二聚体是关键，使该信号系统能够传递多种生物信息，而缺乏特异性配体的HER2在整个信号网络中起调节作用。信号转导涉及的主要通路包括：R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、R</w:t>
            </w:r>
            <w:r>
              <w:rPr>
                <w:rFonts w:hint="eastAsia" w:ascii="微软雅黑" w:hAnsi="微软雅黑" w:eastAsia="微软雅黑" w:cs="微软雅黑"/>
                <w:kern w:val="0"/>
                <w:sz w:val="20"/>
                <w:szCs w:val="20"/>
                <w:lang w:val="en-US" w:eastAsia="zh-CN"/>
              </w:rPr>
              <w:t>AF</w:t>
            </w:r>
            <w:r>
              <w:rPr>
                <w:rFonts w:hint="eastAsia" w:ascii="微软雅黑" w:hAnsi="微软雅黑" w:eastAsia="微软雅黑" w:cs="微软雅黑"/>
                <w:kern w:val="0"/>
                <w:sz w:val="20"/>
                <w:szCs w:val="20"/>
              </w:rPr>
              <w:t>-M</w:t>
            </w:r>
            <w:r>
              <w:rPr>
                <w:rFonts w:hint="eastAsia" w:ascii="微软雅黑" w:hAnsi="微软雅黑" w:eastAsia="微软雅黑" w:cs="微软雅黑"/>
                <w:kern w:val="0"/>
                <w:sz w:val="20"/>
                <w:szCs w:val="20"/>
                <w:lang w:val="en-US" w:eastAsia="zh-CN"/>
              </w:rPr>
              <w:t>EK</w:t>
            </w:r>
            <w:r>
              <w:rPr>
                <w:rFonts w:hint="eastAsia" w:ascii="微软雅黑" w:hAnsi="微软雅黑" w:eastAsia="微软雅黑" w:cs="微软雅黑"/>
                <w:kern w:val="0"/>
                <w:sz w:val="20"/>
                <w:szCs w:val="20"/>
              </w:rPr>
              <w:t>-MAPK、PBK、A</w:t>
            </w:r>
            <w:r>
              <w:rPr>
                <w:rFonts w:hint="eastAsia" w:ascii="微软雅黑" w:hAnsi="微软雅黑" w:eastAsia="微软雅黑" w:cs="微软雅黑"/>
                <w:kern w:val="0"/>
                <w:sz w:val="20"/>
                <w:szCs w:val="20"/>
                <w:lang w:val="en-US" w:eastAsia="zh-CN"/>
              </w:rPr>
              <w:t>KT</w:t>
            </w:r>
            <w:r>
              <w:rPr>
                <w:rFonts w:hint="eastAsia" w:ascii="微软雅黑" w:hAnsi="微软雅黑" w:eastAsia="微软雅黑" w:cs="微软雅黑"/>
                <w:kern w:val="0"/>
                <w:sz w:val="20"/>
                <w:szCs w:val="20"/>
              </w:rPr>
              <w:t>激酶、cAMP(蛋白激酶A)、磷脂酶C和</w:t>
            </w:r>
            <w:r>
              <w:rPr>
                <w:rFonts w:hint="eastAsia" w:ascii="微软雅黑" w:hAnsi="微软雅黑" w:eastAsia="微软雅黑" w:cs="微软雅黑"/>
                <w:kern w:val="0"/>
                <w:sz w:val="20"/>
                <w:szCs w:val="20"/>
                <w:lang w:val="en-US" w:eastAsia="zh-CN"/>
              </w:rPr>
              <w:t>SRC</w:t>
            </w:r>
            <w:r>
              <w:rPr>
                <w:rFonts w:hint="eastAsia" w:ascii="微软雅黑" w:hAnsi="微软雅黑" w:eastAsia="微软雅黑" w:cs="微软雅黑"/>
                <w:kern w:val="0"/>
                <w:sz w:val="20"/>
                <w:szCs w:val="20"/>
              </w:rPr>
              <w:t>等。HER2通过这些信号转导通路使细胞增殖周期变短，恶性表现增强和抗凋亡。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2F2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KRAS</w:t>
            </w:r>
          </w:p>
        </w:tc>
        <w:tc>
          <w:tcPr>
            <w:tcW w:w="4339" w:type="pct"/>
            <w:shd w:val="clear" w:color="auto" w:fill="F2F2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哺乳动物基因组中普遍存在三种RAS癌基因家族成员：H-RAS、K-RAS、N-RAS，这三种基因编码的蛋白质大约有90%的氨基酸同源序列，分子量均为21kDa，故称为RAS</w:t>
            </w:r>
            <w:r>
              <w:rPr>
                <w:rFonts w:hint="eastAsia" w:ascii="微软雅黑" w:hAnsi="微软雅黑" w:eastAsia="微软雅黑" w:cs="微软雅黑"/>
                <w:kern w:val="0"/>
                <w:sz w:val="20"/>
                <w:szCs w:val="20"/>
                <w:lang w:val="en-US" w:eastAsia="zh-CN"/>
              </w:rPr>
              <w:t xml:space="preserve"> </w:t>
            </w:r>
            <w:r>
              <w:rPr>
                <w:rFonts w:hint="eastAsia" w:ascii="微软雅黑" w:hAnsi="微软雅黑" w:eastAsia="微软雅黑" w:cs="微软雅黑"/>
                <w:kern w:val="0"/>
                <w:sz w:val="20"/>
                <w:szCs w:val="20"/>
              </w:rPr>
              <w:t>p21蛋白，其在功能上与G蛋白相似，可与二磷酸尿苷（GDP）结合为非活性状态，与三磷酸尿苷（GTP）结合为活性状态，RAS</w:t>
            </w:r>
            <w:r>
              <w:rPr>
                <w:rFonts w:hint="eastAsia" w:ascii="微软雅黑" w:hAnsi="微软雅黑" w:eastAsia="微软雅黑" w:cs="微软雅黑"/>
                <w:kern w:val="0"/>
                <w:sz w:val="20"/>
                <w:szCs w:val="20"/>
                <w:lang w:val="en-US" w:eastAsia="zh-CN"/>
              </w:rPr>
              <w:t xml:space="preserve"> </w:t>
            </w:r>
            <w:r>
              <w:rPr>
                <w:rFonts w:hint="eastAsia" w:ascii="微软雅黑" w:hAnsi="微软雅黑" w:eastAsia="微软雅黑" w:cs="微软雅黑"/>
                <w:kern w:val="0"/>
                <w:sz w:val="20"/>
                <w:szCs w:val="20"/>
              </w:rPr>
              <w:t>p21蛋白自身具有弱GTPase活性，位于细胞膜内侧参与跨膜信号传递作用。KRAS基因是RAS基因家族中三种癌基因的一种，位于12号染色体上，含有4个编码外显子和1个5’端非编码外显子，共同编码含189个氨基酸的RAS蛋白。KRAS是表皮生长因子受体功能信号的下游分子，属膜结合型GTP/GDP结合蛋白，通过GTP和GDP的相互转化作用有节制的调节KRAS基因对信号系统的开启和关闭，传递细胞生长分化信号。</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MAP2K1</w:t>
            </w:r>
          </w:p>
        </w:tc>
        <w:tc>
          <w:tcPr>
            <w:tcW w:w="4339" w:type="pct"/>
            <w:shd w:val="clear" w:color="auto" w:fill="auto"/>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AP2K1是通过ERK1和ERK2的激活而参与ERK途径的双重特异性激酶。已经在许多癌症中观察到MAP2K1激活突变，包括卵巢癌，黑素瘤和肺癌。这些活化突变通常存在于N末端负调节区或N末端的ATP结合区。在这些情况下，MEK基因的抑制剂已显示出抑制肿瘤生长。</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2F2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MET</w:t>
            </w:r>
          </w:p>
        </w:tc>
        <w:tc>
          <w:tcPr>
            <w:tcW w:w="4339" w:type="pct"/>
            <w:shd w:val="clear" w:color="auto" w:fill="F2F2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ET编码原癌基因酪氨酸激酶c-MET，是肝细胞生长因子（HGF）的受体。c-MET主要在上皮细胞中表达，其配体HGF被周围间充质细胞表达和释放。在正常生理条件下，HGF与c-MET的结合导致激活多种信号通路，包括RAS/RAF/MAPK，PI3K/AKT/MTOR，SRC/FAK和JUN，导致细胞周期进程，细胞增殖，细胞运动和迁移，细胞存活，细胞转化，在组织稳态控制中都很重要。在癌症中MET突变或扩增使得c-MET的组成型激活，从而促进不受控制的细胞增殖和肿瘤转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NRAS</w:t>
            </w:r>
          </w:p>
        </w:tc>
        <w:tc>
          <w:tcPr>
            <w:tcW w:w="4339" w:type="pct"/>
            <w:shd w:val="clear" w:color="auto" w:fill="auto"/>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超家族包含超过150种具有GTP酶活性的小单体蛋白，其基于相似的序列和功能进一步分类为亚家族。在</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亚科内有四个关键成员：K-Ras4a，K-Ras4b，N-Ras和H-Ras。这些蛋白质高度同源，并在所有细胞谱系和器官中检测到表达</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然而，它们并不完全是多余的。某些成年组织优先表达特异性同种型，并且独特的翻译和修饰将它们分布到不同的亚细胞定位，从而激活特异性信号级反应，促进增殖，细胞运动，存活，血管生成，代谢和逃避抗肿瘤免疫应答。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蛋白在与GTP结合时具有活性，并且通过鸟嘌呤核苷酸交换因子（GEFs）进行GDP对GTP的交换。GEFs通过加速</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介导的GTP水解的GTP酶激活蛋白（GAP）平衡，从而使</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蛋白失活。R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是人类癌症中最常见的致癌基因，通常发现</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编码基因NRAS，KRAS和HRAS中的突变常常损害R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介导的GTP-水解。这导致R</w:t>
            </w:r>
            <w:r>
              <w:rPr>
                <w:rFonts w:hint="eastAsia" w:ascii="微软雅黑" w:hAnsi="微软雅黑" w:eastAsia="微软雅黑" w:cs="微软雅黑"/>
                <w:kern w:val="0"/>
                <w:sz w:val="20"/>
                <w:szCs w:val="20"/>
                <w:lang w:val="en-US" w:eastAsia="zh-CN"/>
              </w:rPr>
              <w:t>AS</w:t>
            </w:r>
            <w:r>
              <w:rPr>
                <w:rFonts w:hint="eastAsia" w:ascii="微软雅黑" w:hAnsi="微软雅黑" w:eastAsia="微软雅黑" w:cs="微软雅黑"/>
                <w:kern w:val="0"/>
                <w:sz w:val="20"/>
                <w:szCs w:val="20"/>
              </w:rPr>
              <w:t>的组成型激活。致癌</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的恶性转化活性也依赖于脱甲基化，一种类型的脂质翻译后修饰。尽管在</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家族蛋白质中存在高同源性，但不同的</w:t>
            </w:r>
            <w:r>
              <w:rPr>
                <w:rFonts w:hint="eastAsia" w:ascii="微软雅黑" w:hAnsi="微软雅黑" w:eastAsia="微软雅黑" w:cs="微软雅黑"/>
                <w:kern w:val="0"/>
                <w:sz w:val="20"/>
                <w:szCs w:val="20"/>
                <w:lang w:val="en-US" w:eastAsia="zh-CN"/>
              </w:rPr>
              <w:t>RAS</w:t>
            </w:r>
            <w:r>
              <w:rPr>
                <w:rFonts w:hint="eastAsia" w:ascii="微软雅黑" w:hAnsi="微软雅黑" w:eastAsia="微软雅黑" w:cs="微软雅黑"/>
                <w:kern w:val="0"/>
                <w:sz w:val="20"/>
                <w:szCs w:val="20"/>
              </w:rPr>
              <w:t>同种型在特定类型的癌症中优先突变。NRAS基因与皮肤，造血和淋巴组织的癌症有关。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NTRK1</w:t>
            </w:r>
          </w:p>
        </w:tc>
        <w:tc>
          <w:tcPr>
            <w:tcW w:w="4339" w:type="pct"/>
            <w:shd w:val="clear" w:color="auto" w:fill="F1F1F1" w:themeFill="background1" w:themeFillShade="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NTRK1基因编码原肌球蛋白受体激酶A（TrkA），是Trk受体酪氨酸激酶家族的成员。NTRK1由位于染色体1q21-22上的17个外显子编码，并且可以被转录以产生三个不同的剪接变体，即TrkAI，TrkAII和TrkAIII。TrkAI和TrkAII剪接变体具有高度的相似性，并且仅在TrkAII中位置1296处插入18个核苷酸才有所不同。在生物学上，TrkAI被认为是神经母细胞瘤中的肿瘤抑制因子，而TrkAII的特征在于增强与神经营养因子的结合亲和力。通过缺失NTRK1的外显子6</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7和9产生TrkAIII变体，导致细胞外免疫球蛋白C1结构域的省略。因此，从产生的TrkAIII蛋白中缺失了几个N-糖基化位点，其限制了其对胞内膜隔室的表达，并诱导PI3K/AKT/NF-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传导的组成型激活。重要的是要注意，TrkAIII剪接变体被认为是神经母细胞瘤中的致癌基因，并促进遗传不稳定性。TrkA在神经，内分泌和免疫系统的细胞上表达，其中它响应配体结合控制细胞增殖，分化，凋亡和细胞存活。尽管神经营养因子3（NT-3）和4（NT-4）也可以激活TrkA，但是它最常被神经生长因子（NGF）激活。受体同二聚化后，下游信号级联，最常见的RAS/MAPK，PI3K/AKT和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/PKC通路被激活。相反，在不存在配体的情况下，TrkA可通过抑制PI3K/AKT信号启动促凋亡信号级联，导致</w:t>
            </w:r>
            <w:r>
              <w:rPr>
                <w:rFonts w:hint="eastAsia" w:ascii="微软雅黑" w:hAnsi="微软雅黑" w:eastAsia="微软雅黑" w:cs="微软雅黑"/>
                <w:kern w:val="0"/>
                <w:sz w:val="20"/>
                <w:szCs w:val="20"/>
                <w:lang w:val="en-US" w:eastAsia="zh-CN"/>
              </w:rPr>
              <w:t>BAD</w:t>
            </w:r>
            <w:r>
              <w:rPr>
                <w:rFonts w:hint="eastAsia" w:ascii="微软雅黑" w:hAnsi="微软雅黑" w:eastAsia="微软雅黑" w:cs="微软雅黑"/>
                <w:kern w:val="0"/>
                <w:sz w:val="20"/>
                <w:szCs w:val="20"/>
              </w:rPr>
              <w:t>的去抑制，并激活JNK介导的促凋亡转录调节因子，如B</w:t>
            </w:r>
            <w:r>
              <w:rPr>
                <w:rFonts w:hint="eastAsia" w:ascii="微软雅黑" w:hAnsi="微软雅黑" w:eastAsia="微软雅黑" w:cs="微软雅黑"/>
                <w:kern w:val="0"/>
                <w:sz w:val="20"/>
                <w:szCs w:val="20"/>
                <w:lang w:val="en-US" w:eastAsia="zh-CN"/>
              </w:rPr>
              <w:t>IM</w:t>
            </w:r>
            <w:r>
              <w:rPr>
                <w:rFonts w:hint="eastAsia" w:ascii="微软雅黑" w:hAnsi="微软雅黑" w:eastAsia="微软雅黑" w:cs="微软雅黑"/>
                <w:kern w:val="0"/>
                <w:sz w:val="20"/>
                <w:szCs w:val="20"/>
              </w:rPr>
              <w:t>和P</w:t>
            </w:r>
            <w:r>
              <w:rPr>
                <w:rFonts w:hint="eastAsia" w:ascii="微软雅黑" w:hAnsi="微软雅黑" w:eastAsia="微软雅黑" w:cs="微软雅黑"/>
                <w:kern w:val="0"/>
                <w:sz w:val="20"/>
                <w:szCs w:val="20"/>
                <w:lang w:val="en-US" w:eastAsia="zh-CN"/>
              </w:rPr>
              <w:t>UMA</w:t>
            </w:r>
            <w:r>
              <w:rPr>
                <w:rFonts w:hint="eastAsia" w:ascii="微软雅黑" w:hAnsi="微软雅黑" w:eastAsia="微软雅黑" w:cs="微软雅黑"/>
                <w:kern w:val="0"/>
                <w:sz w:val="20"/>
                <w:szCs w:val="20"/>
              </w:rPr>
              <w:t>。NTRK1重排发生在12%的乳头状甲状腺癌中，3.3%的肺癌和近1%的多形性恶性胶质瘤中。目前在胆道癌中也发现了RABGAP1L-NTRK1融合。在结直肠癌和甲状腺癌中，融合的伴侣基因包括TPM3</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TFG和TPR，而肺癌中检测到MPRIP和CD74。NTRK1基因融合了完整的TRKA激酶结构域，导致了TRKA激酶活性组成性激活。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PIK3CA</w:t>
            </w:r>
          </w:p>
        </w:tc>
        <w:tc>
          <w:tcPr>
            <w:tcW w:w="4339" w:type="pct"/>
            <w:shd w:val="clear" w:color="auto" w:fill="auto"/>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PIK3CA基因编码磷脂酰肌醇3-激酶（PI3K）的p110</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催化亚基，PI3K是由受体酪氨酸激酶和人表皮生长受体2（HER2/ERBB2）驱动的信号转到途径中的整合信号分子。PI3K的活性形式由调节性p85亚单位和催化性p110亚单位组成。激活的PI3K将PIP2转化为PIP3，引发AKT（蛋白激酶B）的磷酸化和雷帕霉素（mTOR）激酶的激活。PI3K/AKT/mTOR信号通路通过调节各种细胞功能（包括细胞增殖，存活，代谢和细胞骨架重组）来促进肿瘤发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2F2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PTEN</w:t>
            </w:r>
          </w:p>
        </w:tc>
        <w:tc>
          <w:tcPr>
            <w:tcW w:w="4339" w:type="pct"/>
            <w:shd w:val="clear" w:color="auto" w:fill="F2F2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PTEN基因（第10号染色体同源丢失性磷酸酶张力蛋白基因），定位于人染色体10q23.3</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是目前发现的第一个具有磷酸酶活性的抑癌基因，含9个外显子和8个内含子，全长200kb</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mRNA全长5.5kb</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rPr>
              <w:t>分子量47KD，由1209个核苷酸所组成的开放阅读框。cDNA序列编码着含403个氨基酸的蛋白质。氨基端磷酸酶结构区、脂质结合的C2结构区和由约50个氨基酸组成的羧基端结构区共同组成与抗肿瘤作用相关的PTEN蛋白结构，其中发挥主要抑癌作用的功能区是具有丝氨酸/苏氨酸，络氨酸双特异性磷酸酶活性的氨基端磷酸酶结构区。</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RET</w:t>
            </w:r>
          </w:p>
        </w:tc>
        <w:tc>
          <w:tcPr>
            <w:tcW w:w="4339" w:type="pct"/>
            <w:shd w:val="clear" w:color="auto" w:fill="auto"/>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RET（RearrangedDuringTransfection）基因编码跨膜受体酪氨酸激酶，优先在神经嵴衍生和泌尿生殖细胞上表达。RET转录物的选择性剪接产生三个C末端含有51,43和9个氨基酸的亚型，分别被称为RET51，RET43和RET9。R</w:t>
            </w:r>
            <w:r>
              <w:rPr>
                <w:rFonts w:hint="eastAsia" w:ascii="微软雅黑" w:hAnsi="微软雅黑" w:eastAsia="微软雅黑" w:cs="微软雅黑"/>
                <w:kern w:val="0"/>
                <w:sz w:val="20"/>
                <w:szCs w:val="20"/>
                <w:lang w:val="en-US" w:eastAsia="zh-CN"/>
              </w:rPr>
              <w:t>ET</w:t>
            </w:r>
            <w:r>
              <w:rPr>
                <w:rFonts w:hint="eastAsia" w:ascii="微软雅黑" w:hAnsi="微软雅黑" w:eastAsia="微软雅黑" w:cs="微软雅黑"/>
                <w:kern w:val="0"/>
                <w:sz w:val="20"/>
                <w:szCs w:val="20"/>
                <w:lang w:eastAsia="en-US"/>
              </w:rPr>
              <w:t>结合胶质细胞系衍生的神经营养因子（GDNF）家族（GDNF，NRTN，ARTN和PSPN）的生长因子</w:t>
            </w:r>
            <w:r>
              <w:rPr>
                <w:rFonts w:hint="eastAsia" w:ascii="微软雅黑" w:hAnsi="微软雅黑" w:eastAsia="微软雅黑" w:cs="微软雅黑"/>
                <w:kern w:val="0"/>
                <w:sz w:val="20"/>
                <w:szCs w:val="20"/>
                <w:lang w:eastAsia="zh-CN"/>
              </w:rPr>
              <w:t>；</w:t>
            </w:r>
            <w:r>
              <w:rPr>
                <w:rFonts w:hint="eastAsia" w:ascii="微软雅黑" w:hAnsi="微软雅黑" w:eastAsia="微软雅黑" w:cs="微软雅黑"/>
                <w:kern w:val="0"/>
                <w:sz w:val="20"/>
                <w:szCs w:val="20"/>
                <w:lang w:eastAsia="en-US"/>
              </w:rPr>
              <w:t>然而，R</w:t>
            </w:r>
            <w:r>
              <w:rPr>
                <w:rFonts w:hint="eastAsia" w:ascii="微软雅黑" w:hAnsi="微软雅黑" w:eastAsia="微软雅黑" w:cs="微软雅黑"/>
                <w:kern w:val="0"/>
                <w:sz w:val="20"/>
                <w:szCs w:val="20"/>
                <w:lang w:val="en-US" w:eastAsia="zh-CN"/>
              </w:rPr>
              <w:t>ET</w:t>
            </w:r>
            <w:r>
              <w:rPr>
                <w:rFonts w:hint="eastAsia" w:ascii="微软雅黑" w:hAnsi="微软雅黑" w:eastAsia="微软雅黑" w:cs="微软雅黑"/>
                <w:kern w:val="0"/>
                <w:sz w:val="20"/>
                <w:szCs w:val="20"/>
                <w:lang w:eastAsia="en-US"/>
              </w:rPr>
              <w:t>不能独立地结合GDNF家族配体（GFLF）。</w:t>
            </w:r>
            <w:r>
              <w:rPr>
                <w:rFonts w:hint="eastAsia" w:ascii="微软雅黑" w:hAnsi="微软雅黑" w:eastAsia="微软雅黑" w:cs="微软雅黑"/>
                <w:kern w:val="0"/>
                <w:sz w:val="20"/>
                <w:szCs w:val="20"/>
              </w:rPr>
              <w:t>它必须将GFLs绑定到四种GDNF家族受体-a（GFRa）蛋白之一。该复合物诱导</w:t>
            </w:r>
            <w:r>
              <w:rPr>
                <w:rFonts w:hint="eastAsia" w:ascii="微软雅黑" w:hAnsi="微软雅黑" w:eastAsia="微软雅黑" w:cs="微软雅黑"/>
                <w:kern w:val="0"/>
                <w:sz w:val="20"/>
                <w:szCs w:val="20"/>
                <w:lang w:val="en-US" w:eastAsia="zh-CN"/>
              </w:rPr>
              <w:t>RET</w:t>
            </w:r>
            <w:r>
              <w:rPr>
                <w:rFonts w:hint="eastAsia" w:ascii="微软雅黑" w:hAnsi="微软雅黑" w:eastAsia="微软雅黑" w:cs="微软雅黑"/>
                <w:kern w:val="0"/>
                <w:sz w:val="20"/>
                <w:szCs w:val="20"/>
              </w:rPr>
              <w:t>同源二聚，反式磷酸化和其酪氨酸激酶活性的活化。这些磷酸化残基用作激活Ras/MAPK，PI3K/AKT，JNK，p38和PLCg信号级联的多种衔接子和效应蛋白的对接位点。RET的致癌活化突变可以以不依赖配体的方式扩增这些信号级联，并激活替代信号级联，例如STAT3和STAT1，以促进肿瘤发生。除了形成同二聚体之外，已经发现R</w:t>
            </w:r>
            <w:r>
              <w:rPr>
                <w:rFonts w:hint="eastAsia" w:ascii="微软雅黑" w:hAnsi="微软雅黑" w:eastAsia="微软雅黑" w:cs="微软雅黑"/>
                <w:kern w:val="0"/>
                <w:sz w:val="20"/>
                <w:szCs w:val="20"/>
                <w:lang w:val="en-US" w:eastAsia="zh-CN"/>
              </w:rPr>
              <w:t>ET</w:t>
            </w:r>
            <w:r>
              <w:rPr>
                <w:rFonts w:hint="eastAsia" w:ascii="微软雅黑" w:hAnsi="微软雅黑" w:eastAsia="微软雅黑" w:cs="微软雅黑"/>
                <w:kern w:val="0"/>
                <w:sz w:val="20"/>
                <w:szCs w:val="20"/>
              </w:rPr>
              <w:t>在MET扩增的肺癌细胞中与M</w:t>
            </w:r>
            <w:r>
              <w:rPr>
                <w:rFonts w:hint="eastAsia" w:ascii="微软雅黑" w:hAnsi="微软雅黑" w:eastAsia="微软雅黑" w:cs="微软雅黑"/>
                <w:kern w:val="0"/>
                <w:sz w:val="20"/>
                <w:szCs w:val="20"/>
                <w:lang w:val="en-US" w:eastAsia="zh-CN"/>
              </w:rPr>
              <w:t>ET</w:t>
            </w:r>
            <w:r>
              <w:rPr>
                <w:rFonts w:hint="eastAsia" w:ascii="微软雅黑" w:hAnsi="微软雅黑" w:eastAsia="微软雅黑" w:cs="微软雅黑"/>
                <w:kern w:val="0"/>
                <w:sz w:val="20"/>
                <w:szCs w:val="20"/>
              </w:rPr>
              <w:t>复合，并且通过IL-6R与ERa间的</w:t>
            </w:r>
            <w:r>
              <w:rPr>
                <w:rFonts w:hint="eastAsia" w:ascii="微软雅黑" w:hAnsi="微软雅黑" w:eastAsia="微软雅黑" w:cs="微软雅黑"/>
                <w:kern w:val="0"/>
                <w:sz w:val="20"/>
                <w:szCs w:val="20"/>
                <w:lang w:val="en-US" w:eastAsia="zh-CN"/>
              </w:rPr>
              <w:t>交互</w:t>
            </w:r>
            <w:r>
              <w:rPr>
                <w:rFonts w:hint="eastAsia" w:ascii="微软雅黑" w:hAnsi="微软雅黑" w:eastAsia="微软雅黑" w:cs="微软雅黑"/>
                <w:kern w:val="0"/>
                <w:sz w:val="20"/>
                <w:szCs w:val="20"/>
              </w:rPr>
              <w:t>在ER+乳腺癌中调控肿瘤的生长和转移。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660"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ROS1</w:t>
            </w:r>
          </w:p>
        </w:tc>
        <w:tc>
          <w:tcPr>
            <w:tcW w:w="4339" w:type="pct"/>
            <w:shd w:val="clear" w:color="auto" w:fill="F1F1F1" w:themeFill="background1" w:themeFillShade="F2"/>
          </w:tcPr>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ind w:right="28"/>
              <w:jc w:val="left"/>
              <w:textAlignment w:val="auto"/>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c-ROS原癌基因1（ROS1）基因是禽类肉瘤病毒UR2转化基因v-ros的人类同源物，并编码胰岛素受体亚家族的受体酪氨酸激酶（RTK）。</w:t>
            </w:r>
            <w:r>
              <w:rPr>
                <w:rFonts w:hint="eastAsia" w:ascii="微软雅黑" w:hAnsi="微软雅黑" w:eastAsia="微软雅黑" w:cs="微软雅黑"/>
                <w:kern w:val="0"/>
                <w:sz w:val="20"/>
                <w:szCs w:val="20"/>
                <w:lang w:val="en-US" w:eastAsia="zh-CN"/>
              </w:rPr>
              <w:t>ROS1</w:t>
            </w:r>
            <w:r>
              <w:rPr>
                <w:rFonts w:hint="eastAsia" w:ascii="微软雅黑" w:hAnsi="微软雅黑" w:eastAsia="微软雅黑" w:cs="微软雅黑"/>
                <w:kern w:val="0"/>
                <w:sz w:val="20"/>
                <w:szCs w:val="20"/>
              </w:rPr>
              <w:t>是在肺组织中高度表达的孤儿受体酪氨酸激酶，其正常生理配体是未知的。然而，</w:t>
            </w:r>
            <w:r>
              <w:rPr>
                <w:rFonts w:hint="eastAsia" w:ascii="微软雅黑" w:hAnsi="微软雅黑" w:eastAsia="微软雅黑" w:cs="微软雅黑"/>
                <w:kern w:val="0"/>
                <w:sz w:val="20"/>
                <w:szCs w:val="20"/>
                <w:lang w:val="en-US" w:eastAsia="zh-CN"/>
              </w:rPr>
              <w:t>ROS1</w:t>
            </w:r>
            <w:r>
              <w:rPr>
                <w:rFonts w:hint="eastAsia" w:ascii="微软雅黑" w:hAnsi="微软雅黑" w:eastAsia="微软雅黑" w:cs="微软雅黑"/>
                <w:kern w:val="0"/>
                <w:sz w:val="20"/>
                <w:szCs w:val="20"/>
              </w:rPr>
              <w:t>与间变性淋巴瘤激酶（ALK）进化相关，其信号传导促进PLC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，MAPK和PI3K信号传导，并可影响细胞增殖和细胞与细胞的相互作用。</w:t>
            </w:r>
            <w:r>
              <w:rPr>
                <w:rFonts w:hint="eastAsia" w:ascii="微软雅黑" w:hAnsi="微软雅黑" w:eastAsia="微软雅黑" w:cs="微软雅黑"/>
                <w:kern w:val="0"/>
                <w:sz w:val="20"/>
                <w:szCs w:val="20"/>
                <w:lang w:val="en-US" w:eastAsia="zh-CN"/>
              </w:rPr>
              <w:t>ROS1</w:t>
            </w:r>
            <w:r>
              <w:rPr>
                <w:rFonts w:hint="eastAsia" w:ascii="微软雅黑" w:hAnsi="微软雅黑" w:eastAsia="微软雅黑" w:cs="微软雅黑"/>
                <w:kern w:val="0"/>
                <w:sz w:val="20"/>
                <w:szCs w:val="20"/>
              </w:rPr>
              <w:t>的1861个N-末端密码子构成非常大的细胞外结构域，而</w:t>
            </w:r>
            <w:r>
              <w:rPr>
                <w:rFonts w:hint="eastAsia" w:ascii="微软雅黑" w:hAnsi="微软雅黑" w:eastAsia="微软雅黑" w:cs="微软雅黑"/>
                <w:kern w:val="0"/>
                <w:sz w:val="20"/>
                <w:szCs w:val="20"/>
                <w:lang w:val="en-US" w:eastAsia="zh-CN"/>
              </w:rPr>
              <w:t>ROS1</w:t>
            </w:r>
            <w:r>
              <w:rPr>
                <w:rFonts w:hint="eastAsia" w:ascii="微软雅黑" w:hAnsi="微软雅黑" w:eastAsia="微软雅黑" w:cs="微软雅黑"/>
                <w:kern w:val="0"/>
                <w:sz w:val="20"/>
                <w:szCs w:val="20"/>
              </w:rPr>
              <w:t>的C-末端结构域的464个残基构成细胞质结构域。</w:t>
            </w:r>
            <w:r>
              <w:rPr>
                <w:rFonts w:hint="eastAsia" w:ascii="微软雅黑" w:hAnsi="微软雅黑" w:eastAsia="微软雅黑" w:cs="微软雅黑"/>
                <w:kern w:val="0"/>
                <w:sz w:val="20"/>
                <w:szCs w:val="20"/>
                <w:lang w:val="en-US" w:eastAsia="zh-CN"/>
              </w:rPr>
              <w:t>ROS1</w:t>
            </w:r>
            <w:r>
              <w:rPr>
                <w:rFonts w:hint="eastAsia" w:ascii="微软雅黑" w:hAnsi="微软雅黑" w:eastAsia="微软雅黑" w:cs="微软雅黑"/>
                <w:kern w:val="0"/>
                <w:sz w:val="20"/>
                <w:szCs w:val="20"/>
              </w:rPr>
              <w:t>已经被最好地表征为非小细胞肺癌（NSCLC）和胆管癌的致癌基因，其中ROS</w:t>
            </w:r>
            <w:r>
              <w:rPr>
                <w:rFonts w:hint="eastAsia" w:ascii="微软雅黑" w:hAnsi="微软雅黑" w:eastAsia="微软雅黑" w:cs="微软雅黑"/>
                <w:kern w:val="0"/>
                <w:sz w:val="20"/>
                <w:szCs w:val="20"/>
                <w:lang w:val="en-US" w:eastAsia="zh-CN"/>
              </w:rPr>
              <w:t>1</w:t>
            </w:r>
            <w:r>
              <w:rPr>
                <w:rFonts w:hint="eastAsia" w:ascii="微软雅黑" w:hAnsi="微软雅黑" w:eastAsia="微软雅黑" w:cs="微软雅黑"/>
                <w:kern w:val="0"/>
                <w:sz w:val="20"/>
                <w:szCs w:val="20"/>
              </w:rPr>
              <w:t>的细胞质激酶结构域与其他N末端伴侣基因融合。</w:t>
            </w:r>
            <w:r>
              <w:rPr>
                <w:rFonts w:hint="eastAsia" w:ascii="微软雅黑" w:hAnsi="微软雅黑" w:eastAsia="微软雅黑" w:cs="微软雅黑"/>
                <w:kern w:val="0"/>
                <w:sz w:val="20"/>
                <w:szCs w:val="20"/>
                <w:lang w:eastAsia="en-US"/>
              </w:rPr>
              <w:t>虽然已经显示许多下游信号蛋白与ROS</w:t>
            </w:r>
            <w:r>
              <w:rPr>
                <w:rFonts w:hint="eastAsia" w:ascii="微软雅黑" w:hAnsi="微软雅黑" w:eastAsia="微软雅黑" w:cs="微软雅黑"/>
                <w:kern w:val="0"/>
                <w:sz w:val="20"/>
                <w:szCs w:val="20"/>
                <w:lang w:val="en-US" w:eastAsia="zh-CN"/>
              </w:rPr>
              <w:t>1</w:t>
            </w:r>
            <w:r>
              <w:rPr>
                <w:rFonts w:hint="eastAsia" w:ascii="微软雅黑" w:hAnsi="微软雅黑" w:eastAsia="微软雅黑" w:cs="微软雅黑"/>
                <w:kern w:val="0"/>
                <w:sz w:val="20"/>
                <w:szCs w:val="20"/>
                <w:lang w:eastAsia="en-US"/>
              </w:rPr>
              <w:t>相互作用，细胞骨架蛋白的磷酸化和PI3K通路的活化是ROS1基因融合转化能力的主要表现。</w:t>
            </w:r>
          </w:p>
        </w:tc>
      </w:tr>
    </w:tbl>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5" w:name="_Toc15972"/>
      <w:bookmarkStart w:id="56" w:name="_Toc2726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2500" cy="413385"/>
                <wp:effectExtent l="0" t="0" r="0" b="5715"/>
                <wp:docPr id="44" name="矩形 12"/>
                <wp:cNvGraphicFramePr/>
                <a:graphic xmlns:a="http://schemas.openxmlformats.org/drawingml/2006/main">
                  <a:graphicData uri="http://schemas.microsoft.com/office/word/2010/wordprocessingShape">
                    <wps:wsp>
                      <wps:cNvSpPr/>
                      <wps:spPr>
                        <a:xfrm>
                          <a:off x="0" y="0"/>
                          <a:ext cx="952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5pt;v-text-anchor:middle;" fillcolor="#35699B" filled="t" stroked="f" coordsize="21600,21600" o:gfxdata="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gRh2vSAAAABAEAAA8A&#10;AAAAAAAAAQAgAAAAOAAAAGRycy9kb3ducmV2LnhtbFBLAQIUABQAAAAIAIdO4kAQFehAeQIAAOU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参考资料</w:t>
      </w:r>
      <w:bookmarkEnd w:id="55"/>
      <w:bookmarkEnd w:id="56"/>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·部分药品说明书</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ado-trastuzumabemtansine_Revised:04/2016alectinib_Revised:12/2015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crizotinib_Revised:04/2016dinutuximab_Revised:03/2015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gefitinib_Revised:07/2015imatinib_Revised:01/2015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lumacaftor_Revised:05/2016osimertinib_Revised:11/2015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rucaparib_Revised:12/2016trametinib_Revised:11/2015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vemurafenib_Revised:06/2016afatinib_Revised:04/2016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cobimetinib_Revised:11/2015dabrafenib_Revised:06/2016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erlotinib_Revised:06/2016ibrutinib_Revised:06/2016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lapatinib_Revised:02/2015olaparib_Revised:12/2014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pertuzumab_Revised:03/2016ruxolitinib_Revised:03/2016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rastuzumab_Revised:03/2016</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·NCCN指南</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NCCNGuideline:AcuteLymphoblasticLeukemia(2020.V1)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NCCNGuideline:AnalCarcinoma（2020.V1）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NCCNGuideline:CutaneousMelanoma（2020.V1）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NCCNGuideline:AIDS-RelatedKaposiSarcoma（2020.V1）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NCCNGuideline:B-cellLymphomas（Version1.2020）</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NCCNGuideline:BladderCancer(2020.V3)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NCCNGuideline:BreastCancer(2020.V3)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NCCNGuideline:CentralNervousSystemCancers（2020.V1）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NCCNGuideline:coloncancer（2020.V2）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NCCNGuideline:cervicalcancer（2020.V1）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NCCNGuideline:HeadandNeckCancers（2020.V1）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NCCNGuideline:HodgkinLymphoma（2020.V1）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NCCNGuideline:DermatofibrosarcomaProtuberans（2020.V1）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NCCNGuideline:MalignantPleuralMesothelioma（2020.V1）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NCCNGuideline:MerkelCellCarcinoma（2020.V1）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NCCNGuideline:MultipleMyeloma(2020.V1)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NCCNGuideline:Non-SmallCellLungCancer（2020.V3）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NCCNGuideline:OccultPrimary（2020.V2）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NCCNGuideline:OlderAdultOncology（2020.V1）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NCCNGuideline:PancreaticAdenocarcinoma（2020.V1）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NCCNGuideline:penilecancer（2020.V1）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NCCNGuideline:PrimaryCutaneousLymphomas（2020.V1）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NCCNGuideline:RectalCancer(2020.V2)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NCCNGuideline:SquamousCellSkinCancers（2020.V1）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NCCNGuideline:SystemicLightChainAmyloidosis（2020.V1）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NCCNGuideline:T-CellLymphomas（2020.V1）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NCCNGuideline:TesticularCancer（2020.V2）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NCCNGuideline:ThymomasandThymicCarcinomas(2020.V1)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NCCNGuideline:uterineneoplasms（2020.V1）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NCCNGuideline:CancerinPeopleLivingwithHIV(2020.V1)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NCCNGuideline:ChronicLymphocyticLeukemia/SmallLymphocyticLymphoma（2020.V4）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NCCNGuideline:Genetic/FamilialHigh-RiskAssessment:Breast,Ovarian,andPancreatic（2020.V1）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NCCNGuideline:GestationalTrophoblasticNeoplasia（2020.V1）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NCCNGuideline:OvarianCancerincludingfallopiantubecancerandprimaryperitonealcancer（2020.V1）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NCCNGuideline:PediatricAcuteLymphoblasticLeukemia(2020.V2)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NCCNGuideline:PediatricAggressiveMatureB-CellLymphomas</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NCCNGuideline:VulvarCancer(SquamousCellCarcinoma)</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NCCNGuideline:Waldenström’sMacroglobulinemia/LymphoplasmacyticLymphoma（2020.V1）</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40" w:lineRule="exact"/>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·会议及临床共识意见</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DOI:10.1158/1538-7445.AM2018-LB-274DOI:10.1200/JCO.2018.36.6_suppl.111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DOI:10.1158/1538-7445.AM2018-CT079AmericanAssociationforCancerResearch(AACR)(2019)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AmericanSocietyofClinicalOncology(ASCO)(2020)AnnalsofOncology(2019)27(6):416-454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CancerRes2019;79(4Suppl):AbstractnrP3-10-27CancerRes2019;79(4Suppl):AbstractnrP3-10-09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ASHmeeting,Dec2018,abstract#781JClinOncol35,2017(suppl;abstr514)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JClinOncol36,2018(suppl;abstre21114)JClinOncol36,2018(suppl;abstr2002)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JClinOncol36,2018(suppl;abstre24292)JClinOncol37,2019(suppl;abstr6006)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JClinOncol37,2019(suppl;abstr7555)JClinOncol37,2019(suppl;abstract7502)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JClinOncol35,2017(suppl;abstr1012)JClinOncol35,2017(suppl;abstr3528)</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JClin.Oncol36,2018(suppl;abstr8510)JClinOncol36,2018(suppl:abstrLBA3503)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JClinOncol36,2018(suppl:abstr3502)JClinOncol37,2019(suppl;abstr591)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JClinOncol37,2019(suppl;abstr142)JClinOncol37,2019(suppl;abstr9008)</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2019欧洲多学科共识指南：基底细胞癌的诊断和治疗2019欧洲多学科共识指南：黑色素瘤的治疗</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肝胆肿瘤分子诊断临床应用专家共识（2020年版）中国胃肠道间质瘤诊断治疗专家共识（2017年版）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中国埃克替尼治疗非小细胞肺癌专家共识（2018年版）2019ESMO临床实践指南：甲状腺癌的诊断，治疗和随访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2019ESMO临床实践指南：皮肤黑色素瘤的诊断、治疗与随访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2020ESMO临床实践指南：边缘区淋巴瘤的诊断，治疗和随访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2019ESMO临床实践指南：遗传性胃肠道肿瘤的诊断，治疗和随访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2018ESMO临床实践指南：转移性非小细胞肺癌的诊断，治疗和随访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中国临床肿瘤学会指南工作委员会,中国临床肿瘤学会（CSCO）胃癌诊疗指南.2020版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中国临床肿瘤学会指南工作委员会,中国临床肿瘤学会（CSCO）结直肠癌诊疗指南.2020版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中国临床肿瘤学会指南工作委员会,中国临床肿瘤学会（CSCO）骨肉瘤诊疗指南.2020版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中国临床肿瘤学会指南工作委员会,中国临床肿瘤学会（CSCO）甲状腺癌诊疗指南.2020版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中国临床肿瘤学会指南工作委员会,中国临床肿瘤学会（CSCO）胰腺癌诊疗指南.2020版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中国临床肿瘤学会指南工作委员会,中国临床肿瘤学会（CSCO）头颈部肿瘤诊疗指南.2020版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国家卫生健康委员会医政医管局《新型抗肿瘤药物临床应用指导原则（2019年版）》</w:t>
      </w:r>
    </w:p>
    <w:p>
      <w:pPr>
        <w:rPr>
          <w:rFonts w:ascii="宋体" w:hAnsi="宋体" w:eastAsia="宋体" w:cs="宋体"/>
          <w:kern w:val="0"/>
          <w:sz w:val="20"/>
          <w:szCs w:val="20"/>
        </w:rPr>
        <w:sectPr>
          <w:pgSz w:w="11906" w:h="16838"/>
          <w:pgMar w:top="1440" w:right="1440" w:bottom="1440" w:left="1440" w:header="850" w:footer="850" w:gutter="0"/>
          <w:pgNumType w:start="1"/>
          <w:cols w:space="0" w:num="1"/>
          <w:rtlGutter w:val="0"/>
          <w:docGrid w:linePitch="312" w:charSpace="0"/>
        </w:sectPr>
      </w:pPr>
    </w:p>
    <w:p>
      <w:pPr>
        <w:rPr>
          <w:rFonts w:ascii="宋体" w:hAnsi="宋体" w:eastAsia="宋体" w:cs="宋体"/>
          <w:kern w:val="0"/>
          <w:sz w:val="20"/>
          <w:szCs w:val="20"/>
        </w:rPr>
      </w:pPr>
      <w:r>
        <w:rPr>
          <w:rFonts w:hint="eastAsia" w:ascii="宋体" w:hAnsi="宋体" w:eastAsia="宋体" w:cs="宋体"/>
          <w:kern w:val="0"/>
          <w:sz w:val="20"/>
          <w:szCs w:val="20"/>
        </w:rPr>
        <w:drawing>
          <wp:anchor distT="0" distB="0" distL="114300" distR="114300" simplePos="0" relativeHeight="251666432" behindDoc="1" locked="0" layoutInCell="1" allowOverlap="1">
            <wp:simplePos x="0" y="0"/>
            <wp:positionH relativeFrom="page">
              <wp:posOffset>0</wp:posOffset>
            </wp:positionH>
            <wp:positionV relativeFrom="paragraph">
              <wp:posOffset>-919480</wp:posOffset>
            </wp:positionV>
            <wp:extent cx="7775575" cy="10847705"/>
            <wp:effectExtent l="0" t="0" r="0" b="0"/>
            <wp:wrapNone/>
            <wp:docPr id="42" name="图片 4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2"/>
                    <pic:cNvPicPr>
                      <a:picLocks noChangeAspect="1"/>
                    </pic:cNvPicPr>
                  </pic:nvPicPr>
                  <pic:blipFill>
                    <a:blip r:embed="rId12"/>
                    <a:stretch>
                      <a:fillRect/>
                    </a:stretch>
                  </pic:blipFill>
                  <pic:spPr>
                    <a:xfrm>
                      <a:off x="0" y="0"/>
                      <a:ext cx="7775575" cy="10847705"/>
                    </a:xfrm>
                    <a:prstGeom prst="rect">
                      <a:avLst/>
                    </a:prstGeom>
                  </pic:spPr>
                </pic:pic>
              </a:graphicData>
            </a:graphic>
          </wp:anchor>
        </w:drawing>
      </w:r>
    </w:p>
    <w:p>
      <w:pPr>
        <w:autoSpaceDE w:val="0"/>
        <w:autoSpaceDN w:val="0"/>
        <w:adjustRightInd w:val="0"/>
        <w:snapToGrid w:val="0"/>
        <w:jc w:val="left"/>
        <w:rPr>
          <w:rFonts w:ascii="宋体" w:hAnsi="宋体" w:eastAsia="宋体" w:cs="宋体"/>
          <w:kern w:val="0"/>
          <w:sz w:val="20"/>
          <w:szCs w:val="20"/>
        </w:rPr>
      </w:pPr>
      <w:bookmarkStart w:id="58" w:name="_GoBack"/>
      <w:bookmarkEnd w:id="58"/>
    </w:p>
    <w:sectPr>
      <w:pgSz w:w="11906" w:h="16838"/>
      <w:pgMar w:top="1440" w:right="1440" w:bottom="1440" w:left="1440" w:header="850" w:footer="850" w:gutter="0"/>
      <w:pgNumType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eastAsiaTheme="minorEastAsia"/>
        <w:color w:val="35699B"/>
        <w:lang w:eastAsia="zh-CN"/>
      </w:rPr>
    </w:pPr>
    <w:r>
      <w:rPr>
        <w:rFonts w:hint="eastAsia"/>
        <w:color w:val="35699B"/>
        <w:lang w:eastAsia="zh-CN"/>
      </w:rPr>
      <w:t>第</w:t>
    </w:r>
    <w:r>
      <w:rPr>
        <w:rFonts w:hint="eastAsia"/>
        <w:color w:val="35699B"/>
        <w:lang w:val="en-US" w:eastAsia="zh-CN"/>
      </w:rPr>
      <w:t xml:space="preserve"> </w:t>
    </w:r>
    <w:r>
      <w:rPr>
        <w:rFonts w:hint="eastAsia"/>
        <w:color w:val="35699B"/>
        <w:lang w:eastAsia="zh-CN"/>
      </w:rPr>
      <w:fldChar w:fldCharType="begin"/>
    </w:r>
    <w:r>
      <w:rPr>
        <w:rFonts w:hint="eastAsia"/>
        <w:color w:val="35699B"/>
        <w:lang w:eastAsia="zh-CN"/>
      </w:rPr>
      <w:instrText xml:space="preserve"> PAGE  \* MERGEFORMAT </w:instrText>
    </w:r>
    <w:r>
      <w:rPr>
        <w:rFonts w:hint="eastAsia"/>
        <w:color w:val="35699B"/>
        <w:lang w:eastAsia="zh-CN"/>
      </w:rPr>
      <w:fldChar w:fldCharType="separate"/>
    </w:r>
    <w:r>
      <w:rPr>
        <w:color w:val="35699B"/>
      </w:rPr>
      <w:t>1</w:t>
    </w:r>
    <w:r>
      <w:rPr>
        <w:rFonts w:hint="eastAsia"/>
        <w:color w:val="35699B"/>
        <w:lang w:eastAsia="zh-CN"/>
      </w:rPr>
      <w:fldChar w:fldCharType="end"/>
    </w:r>
    <w:r>
      <w:rPr>
        <w:rFonts w:hint="eastAsia"/>
        <w:color w:val="35699B"/>
        <w:lang w:val="en-US" w:eastAsia="zh-CN"/>
      </w:rPr>
      <w:t xml:space="preserve"> </w:t>
    </w:r>
    <w:r>
      <w:rPr>
        <w:rFonts w:hint="eastAsia"/>
        <w:color w:val="35699B"/>
        <w:lang w:eastAsia="zh-CN"/>
      </w:rPr>
      <w:t>页</w:t>
    </w:r>
    <w:r>
      <w:rPr>
        <w:rFonts w:hint="eastAsia"/>
        <w:color w:val="35699B"/>
        <w:lang w:val="en-US" w:eastAsia="zh-CN"/>
      </w:rPr>
      <w:t xml:space="preserve"> | </w:t>
    </w:r>
    <w:r>
      <w:rPr>
        <w:rFonts w:hint="eastAsia"/>
        <w:color w:val="35699B"/>
        <w:lang w:eastAsia="zh-CN"/>
      </w:rPr>
      <w:t>共</w:t>
    </w:r>
    <w:r>
      <w:rPr>
        <w:rFonts w:hint="eastAsia"/>
        <w:color w:val="35699B"/>
        <w:lang w:val="en-US" w:eastAsia="zh-CN"/>
      </w:rPr>
      <w:t xml:space="preserve"> </w:t>
    </w:r>
    <w:r>
      <w:rPr>
        <w:color w:val="35699B"/>
        <w:lang w:eastAsia="zh-CN"/>
      </w:rPr>
      <w:fldChar w:fldCharType="begin"/>
    </w:r>
    <w:r>
      <w:rPr>
        <w:color w:val="35699B"/>
        <w:lang w:eastAsia="zh-CN"/>
      </w:rPr>
      <w:instrText xml:space="preserve"> </w:instrText>
    </w:r>
    <w:r>
      <w:rPr>
        <w:rFonts w:hint="eastAsia"/>
        <w:color w:val="35699B"/>
        <w:lang w:eastAsia="zh-CN"/>
      </w:rPr>
      <w:instrText xml:space="preserve">SECTIONPAGES   \* MERGEFORMAT</w:instrText>
    </w:r>
    <w:r>
      <w:rPr>
        <w:color w:val="35699B"/>
        <w:lang w:eastAsia="zh-CN"/>
      </w:rPr>
      <w:instrText xml:space="preserve"> </w:instrText>
    </w:r>
    <w:r>
      <w:rPr>
        <w:color w:val="35699B"/>
        <w:lang w:eastAsia="zh-CN"/>
      </w:rPr>
      <w:fldChar w:fldCharType="separate"/>
    </w:r>
    <w:r>
      <w:rPr>
        <w:color w:val="35699B"/>
        <w:lang w:eastAsia="zh-CN"/>
      </w:rPr>
      <w:t>25</w:t>
    </w:r>
    <w:r>
      <w:rPr>
        <w:color w:val="35699B"/>
        <w:lang w:eastAsia="zh-CN"/>
      </w:rPr>
      <w:fldChar w:fldCharType="end"/>
    </w:r>
    <w:r>
      <w:rPr>
        <w:rFonts w:hint="eastAsia"/>
        <w:color w:val="35699B"/>
        <w:lang w:val="en-US" w:eastAsia="zh-CN"/>
      </w:rPr>
      <w:t xml:space="preserve"> </w:t>
    </w:r>
    <w:r>
      <w:rPr>
        <w:rFonts w:hint="eastAsia"/>
        <w:color w:val="35699B"/>
        <w:lang w:eastAsia="zh-CN"/>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eastAsiaTheme="minorEastAsia"/>
        <w:color w:val="35699B"/>
        <w:lang w:eastAsia="zh-CN"/>
      </w:rPr>
    </w:pPr>
    <w:r>
      <w:rPr>
        <w:rFonts w:hint="eastAsia"/>
        <w:color w:val="35699B"/>
        <w:lang w:eastAsia="zh-CN"/>
      </w:rPr>
      <w:t>第</w:t>
    </w:r>
    <w:r>
      <w:rPr>
        <w:rFonts w:hint="eastAsia"/>
        <w:color w:val="35699B"/>
        <w:lang w:val="en-US" w:eastAsia="zh-CN"/>
      </w:rPr>
      <w:t xml:space="preserve"> </w:t>
    </w:r>
    <w:r>
      <w:rPr>
        <w:rFonts w:hint="eastAsia"/>
        <w:color w:val="35699B"/>
        <w:lang w:eastAsia="zh-CN"/>
      </w:rPr>
      <w:fldChar w:fldCharType="begin"/>
    </w:r>
    <w:r>
      <w:rPr>
        <w:rFonts w:hint="eastAsia"/>
        <w:color w:val="35699B"/>
        <w:lang w:eastAsia="zh-CN"/>
      </w:rPr>
      <w:instrText xml:space="preserve"> PAGE  \* MERGEFORMAT </w:instrText>
    </w:r>
    <w:r>
      <w:rPr>
        <w:rFonts w:hint="eastAsia"/>
        <w:color w:val="35699B"/>
        <w:lang w:eastAsia="zh-CN"/>
      </w:rPr>
      <w:fldChar w:fldCharType="separate"/>
    </w:r>
    <w:r>
      <w:rPr>
        <w:color w:val="35699B"/>
      </w:rPr>
      <w:t>1</w:t>
    </w:r>
    <w:r>
      <w:rPr>
        <w:rFonts w:hint="eastAsia"/>
        <w:color w:val="35699B"/>
        <w:lang w:eastAsia="zh-CN"/>
      </w:rPr>
      <w:fldChar w:fldCharType="end"/>
    </w:r>
    <w:r>
      <w:rPr>
        <w:rFonts w:hint="eastAsia"/>
        <w:color w:val="35699B"/>
        <w:lang w:val="en-US" w:eastAsia="zh-CN"/>
      </w:rPr>
      <w:t xml:space="preserve"> </w:t>
    </w:r>
    <w:r>
      <w:rPr>
        <w:rFonts w:hint="eastAsia"/>
        <w:color w:val="35699B"/>
        <w:lang w:eastAsia="zh-CN"/>
      </w:rPr>
      <w:t>页</w:t>
    </w:r>
    <w:r>
      <w:rPr>
        <w:rFonts w:hint="eastAsia"/>
        <w:color w:val="35699B"/>
        <w:lang w:val="en-US" w:eastAsia="zh-CN"/>
      </w:rPr>
      <w:t xml:space="preserve"> | </w:t>
    </w:r>
    <w:r>
      <w:rPr>
        <w:rFonts w:hint="eastAsia"/>
        <w:color w:val="35699B"/>
        <w:lang w:eastAsia="zh-CN"/>
      </w:rPr>
      <w:t>共</w:t>
    </w:r>
    <w:r>
      <w:rPr>
        <w:rFonts w:hint="eastAsia"/>
        <w:color w:val="35699B"/>
        <w:lang w:val="en-US" w:eastAsia="zh-CN"/>
      </w:rPr>
      <w:t xml:space="preserve"> </w:t>
    </w:r>
    <w:r>
      <w:rPr>
        <w:color w:val="35699B"/>
        <w:lang w:eastAsia="zh-CN"/>
      </w:rPr>
      <w:fldChar w:fldCharType="begin"/>
    </w:r>
    <w:r>
      <w:rPr>
        <w:color w:val="35699B"/>
        <w:lang w:eastAsia="zh-CN"/>
      </w:rPr>
      <w:instrText xml:space="preserve"> </w:instrText>
    </w:r>
    <w:r>
      <w:rPr>
        <w:rFonts w:hint="eastAsia"/>
        <w:color w:val="35699B"/>
        <w:lang w:eastAsia="zh-CN"/>
      </w:rPr>
      <w:instrText xml:space="preserve">SECTIONPAGES   \* MERGEFORMAT</w:instrText>
    </w:r>
    <w:r>
      <w:rPr>
        <w:color w:val="35699B"/>
        <w:lang w:eastAsia="zh-CN"/>
      </w:rPr>
      <w:instrText xml:space="preserve"> </w:instrText>
    </w:r>
    <w:r>
      <w:rPr>
        <w:color w:val="35699B"/>
        <w:lang w:eastAsia="zh-CN"/>
      </w:rPr>
      <w:fldChar w:fldCharType="separate"/>
    </w:r>
    <w:r>
      <w:rPr>
        <w:color w:val="35699B"/>
        <w:lang w:eastAsia="zh-CN"/>
      </w:rPr>
      <w:t>25</w:t>
    </w:r>
    <w:r>
      <w:rPr>
        <w:color w:val="35699B"/>
        <w:lang w:eastAsia="zh-CN"/>
      </w:rPr>
      <w:fldChar w:fldCharType="end"/>
    </w:r>
    <w:r>
      <w:rPr>
        <w:rFonts w:hint="eastAsia"/>
        <w:color w:val="35699B"/>
        <w:lang w:val="en-US" w:eastAsia="zh-CN"/>
      </w:rPr>
      <w:t xml:space="preserve"> </w:t>
    </w:r>
    <w:r>
      <w:rPr>
        <w:rFonts w:hint="eastAsia"/>
        <w:color w:val="35699B"/>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1" w:rightFromText="181" w:vertAnchor="page" w:horzAnchor="page" w:tblpX="1550" w:tblpY="746"/>
      <w:tblOverlap w:val="never"/>
      <w:tblW w:w="485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4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65"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left"/>
            <w:rPr>
              <w:lang w:eastAsia="zh-CN"/>
            </w:rPr>
          </w:pPr>
          <w:r>
            <w:rPr>
              <w:rFonts w:hint="eastAsia" w:ascii="宋体" w:hAnsi="宋体" w:eastAsia="宋体" w:cs="宋体"/>
              <w:color w:val="35699B"/>
              <w:lang w:eastAsia="zh-CN"/>
            </w:rPr>
            <w:t>上海解码医学检验所</w:t>
          </w:r>
        </w:p>
      </w:tc>
      <w:tc>
        <w:tcPr>
          <w:tcW w:w="2434"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right"/>
            <w:rPr>
              <w:lang w:eastAsia="zh-CN"/>
            </w:rPr>
          </w:pPr>
          <w:bookmarkStart w:id="57" w:name="reportheader"/>
          <w:r>
            <w:rPr>
              <w:rFonts w:hint="eastAsia" w:ascii="宋体" w:hAnsi="宋体" w:eastAsia="宋体" w:cs="宋体"/>
              <w:color w:val="35699B"/>
              <w:lang w:eastAsia="zh-CN"/>
            </w:rPr>
            <w:t>reportheader</w:t>
          </w:r>
          <w:bookmarkEnd w:id="57"/>
        </w:p>
      </w:tc>
    </w:tr>
  </w:tbl>
  <w:p>
    <w:pPr>
      <w:pStyle w:val="6"/>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D4F53"/>
    <w:multiLevelType w:val="multilevel"/>
    <w:tmpl w:val="1A3D4F53"/>
    <w:lvl w:ilvl="0" w:tentative="0">
      <w:start w:val="0"/>
      <w:numFmt w:val="bullet"/>
      <w:lvlText w:val=""/>
      <w:lvlJc w:val="left"/>
      <w:pPr>
        <w:ind w:left="420" w:hanging="42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F20222"/>
    <w:multiLevelType w:val="multilevel"/>
    <w:tmpl w:val="79F20222"/>
    <w:lvl w:ilvl="0" w:tentative="0">
      <w:start w:val="0"/>
      <w:numFmt w:val="bullet"/>
      <w:lvlText w:val="◆"/>
      <w:lvlJc w:val="left"/>
      <w:pPr>
        <w:ind w:left="360" w:hanging="360"/>
      </w:pPr>
      <w:rPr>
        <w:rFonts w:hint="eastAsia" w:ascii="等线" w:hAnsi="等线"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2MzNkZTI1MTc0MWUyYmVmZTBlOWQ4ODViZjAxMGIifQ=="/>
  </w:docVars>
  <w:rsids>
    <w:rsidRoot w:val="7101212B"/>
    <w:rsid w:val="000023CD"/>
    <w:rsid w:val="00026758"/>
    <w:rsid w:val="00057DF3"/>
    <w:rsid w:val="000841EC"/>
    <w:rsid w:val="00085C26"/>
    <w:rsid w:val="000B1675"/>
    <w:rsid w:val="000F5770"/>
    <w:rsid w:val="001047B5"/>
    <w:rsid w:val="001117B6"/>
    <w:rsid w:val="00111F8A"/>
    <w:rsid w:val="0016085F"/>
    <w:rsid w:val="0019507B"/>
    <w:rsid w:val="001B256F"/>
    <w:rsid w:val="00251BC7"/>
    <w:rsid w:val="00256F66"/>
    <w:rsid w:val="00267905"/>
    <w:rsid w:val="00275BD2"/>
    <w:rsid w:val="002A01B1"/>
    <w:rsid w:val="002C255D"/>
    <w:rsid w:val="002D3363"/>
    <w:rsid w:val="00317F13"/>
    <w:rsid w:val="00323366"/>
    <w:rsid w:val="00345969"/>
    <w:rsid w:val="003638B1"/>
    <w:rsid w:val="00373CEB"/>
    <w:rsid w:val="003A46E7"/>
    <w:rsid w:val="003B672D"/>
    <w:rsid w:val="003C3A1E"/>
    <w:rsid w:val="003D39F6"/>
    <w:rsid w:val="003D4231"/>
    <w:rsid w:val="00420B2C"/>
    <w:rsid w:val="00450785"/>
    <w:rsid w:val="004829C6"/>
    <w:rsid w:val="004968E1"/>
    <w:rsid w:val="00547F2E"/>
    <w:rsid w:val="00550948"/>
    <w:rsid w:val="00563E6D"/>
    <w:rsid w:val="00574F69"/>
    <w:rsid w:val="005B3ED2"/>
    <w:rsid w:val="005C51AD"/>
    <w:rsid w:val="00612FB0"/>
    <w:rsid w:val="00641B63"/>
    <w:rsid w:val="006439E7"/>
    <w:rsid w:val="0064507B"/>
    <w:rsid w:val="006517F8"/>
    <w:rsid w:val="006602DD"/>
    <w:rsid w:val="006972BB"/>
    <w:rsid w:val="006A682A"/>
    <w:rsid w:val="006C228D"/>
    <w:rsid w:val="00712191"/>
    <w:rsid w:val="0073142A"/>
    <w:rsid w:val="007314F4"/>
    <w:rsid w:val="007571A1"/>
    <w:rsid w:val="00770CA2"/>
    <w:rsid w:val="007816C3"/>
    <w:rsid w:val="007859BD"/>
    <w:rsid w:val="007D17C1"/>
    <w:rsid w:val="007E58F1"/>
    <w:rsid w:val="00825C86"/>
    <w:rsid w:val="00835EE7"/>
    <w:rsid w:val="0087711F"/>
    <w:rsid w:val="00885C2A"/>
    <w:rsid w:val="008B7AC7"/>
    <w:rsid w:val="008C0242"/>
    <w:rsid w:val="00904B69"/>
    <w:rsid w:val="009203D2"/>
    <w:rsid w:val="009368C2"/>
    <w:rsid w:val="00955D52"/>
    <w:rsid w:val="00982DCF"/>
    <w:rsid w:val="00986839"/>
    <w:rsid w:val="0098793A"/>
    <w:rsid w:val="009C4A7B"/>
    <w:rsid w:val="009D717B"/>
    <w:rsid w:val="009F061E"/>
    <w:rsid w:val="009F5A67"/>
    <w:rsid w:val="00A0184D"/>
    <w:rsid w:val="00A06681"/>
    <w:rsid w:val="00A209B6"/>
    <w:rsid w:val="00A2122A"/>
    <w:rsid w:val="00AA07FC"/>
    <w:rsid w:val="00AF5B92"/>
    <w:rsid w:val="00B0514C"/>
    <w:rsid w:val="00B214C7"/>
    <w:rsid w:val="00B44A2C"/>
    <w:rsid w:val="00B52287"/>
    <w:rsid w:val="00B72200"/>
    <w:rsid w:val="00B834B1"/>
    <w:rsid w:val="00BF6788"/>
    <w:rsid w:val="00C11E9C"/>
    <w:rsid w:val="00C31336"/>
    <w:rsid w:val="00C92D4F"/>
    <w:rsid w:val="00CB55F5"/>
    <w:rsid w:val="00D3060F"/>
    <w:rsid w:val="00D53844"/>
    <w:rsid w:val="00D658F7"/>
    <w:rsid w:val="00D80A5D"/>
    <w:rsid w:val="00DB0122"/>
    <w:rsid w:val="00DB37AB"/>
    <w:rsid w:val="00DF0A9D"/>
    <w:rsid w:val="00E00E86"/>
    <w:rsid w:val="00E17D61"/>
    <w:rsid w:val="00E46C2F"/>
    <w:rsid w:val="00E52B54"/>
    <w:rsid w:val="00E6211B"/>
    <w:rsid w:val="00E909EF"/>
    <w:rsid w:val="00EA6438"/>
    <w:rsid w:val="00ED0344"/>
    <w:rsid w:val="00EE2A82"/>
    <w:rsid w:val="00EE34F5"/>
    <w:rsid w:val="00F03429"/>
    <w:rsid w:val="00F862F6"/>
    <w:rsid w:val="00FA6704"/>
    <w:rsid w:val="00FC1EC0"/>
    <w:rsid w:val="00FC3BAC"/>
    <w:rsid w:val="0482120F"/>
    <w:rsid w:val="08FB4112"/>
    <w:rsid w:val="152D183B"/>
    <w:rsid w:val="15BC28E5"/>
    <w:rsid w:val="16C929E1"/>
    <w:rsid w:val="174F6736"/>
    <w:rsid w:val="1F8227FB"/>
    <w:rsid w:val="209D7C0B"/>
    <w:rsid w:val="21163922"/>
    <w:rsid w:val="224D6CE8"/>
    <w:rsid w:val="227B4DF5"/>
    <w:rsid w:val="26697462"/>
    <w:rsid w:val="284256F2"/>
    <w:rsid w:val="28C224CD"/>
    <w:rsid w:val="2BDD7E08"/>
    <w:rsid w:val="2D9A02F1"/>
    <w:rsid w:val="30E22EB3"/>
    <w:rsid w:val="310E6507"/>
    <w:rsid w:val="34490205"/>
    <w:rsid w:val="34CC3EE3"/>
    <w:rsid w:val="37450924"/>
    <w:rsid w:val="387F086D"/>
    <w:rsid w:val="3BB60B40"/>
    <w:rsid w:val="42FE1B39"/>
    <w:rsid w:val="43AD5C75"/>
    <w:rsid w:val="43D367F8"/>
    <w:rsid w:val="44620D4B"/>
    <w:rsid w:val="448505F2"/>
    <w:rsid w:val="47415C23"/>
    <w:rsid w:val="48104680"/>
    <w:rsid w:val="4B466986"/>
    <w:rsid w:val="4BE2754C"/>
    <w:rsid w:val="4BE85E3B"/>
    <w:rsid w:val="4C357195"/>
    <w:rsid w:val="4D545AB4"/>
    <w:rsid w:val="52E22731"/>
    <w:rsid w:val="53185E6A"/>
    <w:rsid w:val="549D1A54"/>
    <w:rsid w:val="55C979F9"/>
    <w:rsid w:val="56284D37"/>
    <w:rsid w:val="57C56FE7"/>
    <w:rsid w:val="57DC5D57"/>
    <w:rsid w:val="59DFE5F0"/>
    <w:rsid w:val="5D5B3904"/>
    <w:rsid w:val="5DF30F24"/>
    <w:rsid w:val="5FA24950"/>
    <w:rsid w:val="61DF0271"/>
    <w:rsid w:val="626A47A4"/>
    <w:rsid w:val="62CA3B55"/>
    <w:rsid w:val="63957673"/>
    <w:rsid w:val="63B20E50"/>
    <w:rsid w:val="695A47FC"/>
    <w:rsid w:val="6B560D27"/>
    <w:rsid w:val="6C2D001B"/>
    <w:rsid w:val="6DFEDC59"/>
    <w:rsid w:val="6E1E1388"/>
    <w:rsid w:val="70E10438"/>
    <w:rsid w:val="7101212B"/>
    <w:rsid w:val="73E442E3"/>
    <w:rsid w:val="75976946"/>
    <w:rsid w:val="76785D77"/>
    <w:rsid w:val="77477D56"/>
    <w:rsid w:val="775D86D2"/>
    <w:rsid w:val="7DB61C4E"/>
    <w:rsid w:val="7DF340B4"/>
    <w:rsid w:val="7EAB2894"/>
    <w:rsid w:val="7EF8662F"/>
    <w:rsid w:val="7F385010"/>
    <w:rsid w:val="7FDE0285"/>
    <w:rsid w:val="BF7AE3E0"/>
    <w:rsid w:val="EFBE0219"/>
    <w:rsid w:val="F5F50DE7"/>
    <w:rsid w:val="FEF731C2"/>
    <w:rsid w:val="FF8F3AC3"/>
    <w:rsid w:val="FFD73EA8"/>
    <w:rsid w:val="FFEB15C0"/>
    <w:rsid w:val="FFF9B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autoSpaceDE w:val="0"/>
      <w:autoSpaceDN w:val="0"/>
      <w:adjustRightInd w:val="0"/>
      <w:snapToGrid w:val="0"/>
    </w:pPr>
    <w:rPr>
      <w:rFonts w:ascii="等线" w:hAnsi="等线" w:eastAsia="等线" w:cs="等线"/>
      <w:sz w:val="18"/>
      <w:szCs w:val="22"/>
      <w:lang w:val="en-US" w:eastAsia="en-US" w:bidi="ar-SA"/>
    </w:rPr>
  </w:style>
  <w:style w:type="paragraph" w:styleId="6">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autoSpaceDE w:val="0"/>
      <w:autoSpaceDN w:val="0"/>
      <w:adjustRightInd w:val="0"/>
      <w:snapToGrid w:val="0"/>
      <w:jc w:val="both"/>
    </w:pPr>
    <w:rPr>
      <w:rFonts w:ascii="等线" w:hAnsi="等线" w:eastAsia="等线" w:cs="等线"/>
      <w:sz w:val="18"/>
      <w:szCs w:val="22"/>
      <w:lang w:val="en-US" w:eastAsia="en-US" w:bidi="ar-SA"/>
    </w:rPr>
  </w:style>
  <w:style w:type="paragraph" w:styleId="7">
    <w:name w:val="toc 1"/>
    <w:basedOn w:val="1"/>
    <w:next w:val="1"/>
    <w:qFormat/>
    <w:uiPriority w:val="39"/>
  </w:style>
  <w:style w:type="paragraph" w:styleId="8">
    <w:name w:val="toc 2"/>
    <w:basedOn w:val="1"/>
    <w:next w:val="1"/>
    <w:qFormat/>
    <w:uiPriority w:val="0"/>
    <w:pPr>
      <w:ind w:left="420" w:leftChars="200"/>
    </w:pPr>
  </w:style>
  <w:style w:type="table" w:styleId="10">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FollowedHyperlink"/>
    <w:basedOn w:val="11"/>
    <w:qFormat/>
    <w:uiPriority w:val="0"/>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6">
    <w:name w:val="List Paragraph"/>
    <w:basedOn w:val="1"/>
    <w:qFormat/>
    <w:uiPriority w:val="99"/>
    <w:pPr>
      <w:ind w:firstLine="420" w:firstLineChars="200"/>
    </w:pPr>
  </w:style>
  <w:style w:type="paragraph" w:customStyle="1" w:styleId="17">
    <w:name w:val="表格"/>
    <w:basedOn w:val="1"/>
    <w:link w:val="18"/>
    <w:qFormat/>
    <w:uiPriority w:val="0"/>
    <w:pPr>
      <w:autoSpaceDE w:val="0"/>
      <w:autoSpaceDN w:val="0"/>
      <w:adjustRightInd w:val="0"/>
      <w:snapToGrid w:val="0"/>
      <w:jc w:val="center"/>
    </w:pPr>
    <w:rPr>
      <w:rFonts w:ascii="微软雅黑" w:hAnsi="微软雅黑" w:eastAsia="微软雅黑" w:cs="Times New Roman"/>
      <w:bCs/>
      <w:kern w:val="0"/>
      <w:sz w:val="18"/>
      <w:szCs w:val="18"/>
      <w:lang w:eastAsia="en-US"/>
    </w:rPr>
  </w:style>
  <w:style w:type="character" w:customStyle="1" w:styleId="18">
    <w:name w:val="表格 字符"/>
    <w:basedOn w:val="11"/>
    <w:link w:val="17"/>
    <w:qFormat/>
    <w:uiPriority w:val="0"/>
    <w:rPr>
      <w:rFonts w:ascii="微软雅黑" w:hAnsi="微软雅黑" w:eastAsia="微软雅黑" w:cs="Times New Roman"/>
      <w:bCs/>
      <w:sz w:val="18"/>
      <w:szCs w:val="18"/>
      <w:lang w:eastAsia="en-US"/>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15022</Words>
  <Characters>22230</Characters>
  <Lines>178</Lines>
  <Paragraphs>50</Paragraphs>
  <TotalTime>1</TotalTime>
  <ScaleCrop>false</ScaleCrop>
  <LinksUpToDate>false</LinksUpToDate>
  <CharactersWithSpaces>22340</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2021-08-31T17:54:00Z</dcterms:created>
  <dc:creator>唛小小</dc:creator>
  <cp:lastModifiedBy>陈宇韶</cp:lastModifiedBy>
  <cp:lastPrinted>2021-02-20T18:10:00Z</cp:lastPrinted>
  <dcterms:modified xsi:type="dcterms:W3CDTF">2023-06-27T21:57:03Z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610AA70644BE4E3B9676AD2560519EF0</vt:lpwstr>
  </property>
</Properties>
</file>