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7433" w14:textId="47EFABB6" w:rsidR="00133DB4" w:rsidRPr="002A3C61" w:rsidRDefault="00000000" w:rsidP="008574D3">
      <w:pPr>
        <w:pStyle w:val="1"/>
        <w:spacing w:after="200"/>
        <w:jc w:val="center"/>
        <w:rPr>
          <w:rFonts w:asciiTheme="minorEastAsia" w:hAnsiTheme="minorEastAsia"/>
          <w:sz w:val="28"/>
          <w:szCs w:val="28"/>
        </w:rPr>
      </w:pPr>
      <w:r w:rsidRPr="002A3C61">
        <w:rPr>
          <w:rFonts w:asciiTheme="minorEastAsia" w:hAnsiTheme="minorEastAsia"/>
          <w:sz w:val="28"/>
          <w:szCs w:val="28"/>
        </w:rPr>
        <w:t>第 22 章 云计算</w:t>
      </w:r>
    </w:p>
    <w:p w14:paraId="20DDE1D7" w14:textId="6C8948AB" w:rsidR="00133DB4" w:rsidRPr="002A3C61" w:rsidRDefault="00000000" w:rsidP="008574D3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2A3C61">
        <w:rPr>
          <w:rFonts w:asciiTheme="minorEastAsia" w:hAnsiTheme="minorEastAsia"/>
          <w:sz w:val="24"/>
          <w:szCs w:val="24"/>
        </w:rPr>
        <w:t>0. 学习目标总览</w:t>
      </w:r>
    </w:p>
    <w:p w14:paraId="2297C312" w14:textId="7B68E5A0" w:rsidR="00133DB4" w:rsidRPr="002A3C61" w:rsidRDefault="00000000" w:rsidP="008574D3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教材给出本章七个学习目标：</w:t>
      </w:r>
    </w:p>
    <w:p w14:paraId="33233FDD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1. 概述云计算的概念。</w:t>
      </w:r>
    </w:p>
    <w:p w14:paraId="6A55CF35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2. 列出并定义主要的云服务。</w:t>
      </w:r>
    </w:p>
    <w:p w14:paraId="78FB20DB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3. 列出并定义云部署模型。</w:t>
      </w:r>
    </w:p>
    <w:p w14:paraId="55287462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4. 解释NIST云计算参考架构。</w:t>
      </w:r>
    </w:p>
    <w:p w14:paraId="0C05B323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5. 理解与云计算相关的特殊安全问题。</w:t>
      </w:r>
    </w:p>
    <w:p w14:paraId="51B60FE5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6. 描述云安全即服务。</w:t>
      </w:r>
    </w:p>
    <w:p w14:paraId="508C9749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7. 理解云安全的OpenStack安全模块。</w:t>
      </w:r>
    </w:p>
    <w:p w14:paraId="3C94B638" w14:textId="77777777" w:rsidR="00133DB4" w:rsidRPr="002A3C61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p w14:paraId="732AB6C8" w14:textId="298C2659" w:rsidR="008574D3" w:rsidRPr="002A3C61" w:rsidRDefault="00000000" w:rsidP="008574D3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本章主线是从云计算模型出发，明确服务和部署责任，再把安全责任分配到云用户、云提供商及相关第三方：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8574D3" w:rsidRPr="002A3C61" w14:paraId="08205E14" w14:textId="77777777" w:rsidTr="008574D3">
        <w:tc>
          <w:tcPr>
            <w:tcW w:w="9016" w:type="dxa"/>
          </w:tcPr>
          <w:p w14:paraId="1A77FC8D" w14:textId="25172C20" w:rsidR="008574D3" w:rsidRPr="002A3C61" w:rsidRDefault="008574D3">
            <w:pPr>
              <w:spacing w:after="200"/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 xml:space="preserve">    云计算    </w:t>
            </w:r>
            <w:r w:rsidRPr="002A3C61">
              <w:rPr>
                <w:rFonts w:asciiTheme="minorEastAsia" w:hAnsiTheme="minorEastAsia"/>
                <w:sz w:val="20"/>
                <w:szCs w:val="20"/>
              </w:rPr>
              <w:br/>
              <w:t xml:space="preserve">      |-- 五个基本特征：网络接入 / 可伸缩 / 计量 / 自助 / 资源池化    </w:t>
            </w:r>
            <w:r w:rsidRPr="002A3C61">
              <w:rPr>
                <w:rFonts w:asciiTheme="minorEastAsia" w:hAnsiTheme="minorEastAsia"/>
                <w:sz w:val="20"/>
                <w:szCs w:val="20"/>
              </w:rPr>
              <w:br/>
              <w:t xml:space="preserve">      |-- 三种服务模型：SaaS / PaaS / IaaS    </w:t>
            </w:r>
            <w:r w:rsidRPr="002A3C61">
              <w:rPr>
                <w:rFonts w:asciiTheme="minorEastAsia" w:hAnsiTheme="minorEastAsia"/>
                <w:sz w:val="20"/>
                <w:szCs w:val="20"/>
              </w:rPr>
              <w:br/>
              <w:t xml:space="preserve">      |-- 四种部署模型：公有云 / 私有云 / 社区云 / 混合云    </w:t>
            </w:r>
            <w:r w:rsidRPr="002A3C61">
              <w:rPr>
                <w:rFonts w:asciiTheme="minorEastAsia" w:hAnsiTheme="minorEastAsia"/>
                <w:sz w:val="20"/>
                <w:szCs w:val="20"/>
              </w:rPr>
              <w:br/>
              <w:t xml:space="preserve">      |-- 云安全：风险识别、责任划分、数据与身份保护    </w:t>
            </w:r>
            <w:r w:rsidRPr="002A3C61">
              <w:rPr>
                <w:rFonts w:asciiTheme="minorEastAsia" w:hAnsiTheme="minorEastAsia"/>
                <w:sz w:val="20"/>
                <w:szCs w:val="20"/>
              </w:rPr>
              <w:br/>
              <w:t xml:space="preserve">      |-- </w:t>
            </w:r>
            <w:proofErr w:type="spellStart"/>
            <w:r w:rsidRPr="002A3C61">
              <w:rPr>
                <w:rFonts w:asciiTheme="minorEastAsia" w:hAnsiTheme="minorEastAsia"/>
                <w:sz w:val="20"/>
                <w:szCs w:val="20"/>
              </w:rPr>
              <w:t>SecaaS</w:t>
            </w:r>
            <w:proofErr w:type="spellEnd"/>
            <w:r w:rsidRPr="002A3C61">
              <w:rPr>
                <w:rFonts w:asciiTheme="minorEastAsia" w:hAnsiTheme="minorEastAsia"/>
                <w:sz w:val="20"/>
                <w:szCs w:val="20"/>
              </w:rPr>
              <w:t xml:space="preserve">：把身份、数据、Web、邮件、入侵和网络安全作为云服务    </w:t>
            </w:r>
            <w:r w:rsidRPr="002A3C61">
              <w:rPr>
                <w:rFonts w:asciiTheme="minorEastAsia" w:hAnsiTheme="minorEastAsia"/>
                <w:sz w:val="20"/>
                <w:szCs w:val="20"/>
              </w:rPr>
              <w:br/>
              <w:t xml:space="preserve">      `-- OpenStack Keystone：身份、令牌、服务目录、策略    </w:t>
            </w:r>
          </w:p>
        </w:tc>
      </w:tr>
    </w:tbl>
    <w:p w14:paraId="31149CD5" w14:textId="300CD89A" w:rsidR="00133DB4" w:rsidRPr="002A3C61" w:rsidRDefault="00133DB4">
      <w:pPr>
        <w:spacing w:after="200"/>
        <w:rPr>
          <w:rFonts w:asciiTheme="minorEastAsia" w:hAnsiTheme="minorEastAsia"/>
          <w:sz w:val="20"/>
          <w:szCs w:val="20"/>
        </w:rPr>
      </w:pPr>
    </w:p>
    <w:p w14:paraId="42BAD0FC" w14:textId="158BD300" w:rsidR="00133DB4" w:rsidRPr="002A3C61" w:rsidRDefault="00000000" w:rsidP="006F6EDB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2A3C61">
        <w:rPr>
          <w:rFonts w:asciiTheme="minorEastAsia" w:hAnsiTheme="minorEastAsia"/>
          <w:sz w:val="24"/>
          <w:szCs w:val="24"/>
        </w:rPr>
        <w:t>1. 学习目标 1：云计算的概念</w:t>
      </w:r>
    </w:p>
    <w:p w14:paraId="7DB41B88" w14:textId="66984C90" w:rsidR="00133DB4" w:rsidRPr="002A3C61" w:rsidRDefault="00000000" w:rsidP="006F6EDB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2A3C61">
        <w:rPr>
          <w:rFonts w:asciiTheme="minorEastAsia" w:hAnsiTheme="minorEastAsia"/>
          <w:sz w:val="22"/>
          <w:szCs w:val="22"/>
        </w:rPr>
        <w:t>1.1 NIST 定义与五个基本特征</w:t>
      </w:r>
    </w:p>
    <w:p w14:paraId="191F142A" w14:textId="1CFA5937" w:rsidR="00133DB4" w:rsidRPr="002A3C61" w:rsidRDefault="00000000" w:rsidP="006F6EDB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NIST 将云计算定义为：通过网络对共享的可配置计算资源池进行无处不在、方便、按需的访问，并以很少的管理开销或服务提供者交互实现快速提供和释放。资源池包括网络、服务器、存储、应用和服务；云模型由五个基本特征、三个服务模型和四个部署模型组成。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52"/>
        <w:gridCol w:w="5376"/>
      </w:tblGrid>
      <w:tr w:rsidR="00133DB4" w:rsidRPr="002A3C61" w14:paraId="737839C5" w14:textId="77777777">
        <w:trPr>
          <w:tblHeader/>
        </w:trPr>
        <w:tc>
          <w:tcPr>
            <w:tcW w:w="2553" w:type="dxa"/>
          </w:tcPr>
          <w:p w14:paraId="585553A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特征</w:t>
            </w:r>
          </w:p>
        </w:tc>
        <w:tc>
          <w:tcPr>
            <w:tcW w:w="6807" w:type="dxa"/>
          </w:tcPr>
          <w:p w14:paraId="5C779AB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含义</w:t>
            </w:r>
          </w:p>
        </w:tc>
      </w:tr>
      <w:tr w:rsidR="00133DB4" w:rsidRPr="002A3C61" w14:paraId="43619DA6" w14:textId="77777777">
        <w:tc>
          <w:tcPr>
            <w:tcW w:w="2553" w:type="dxa"/>
          </w:tcPr>
          <w:p w14:paraId="664D371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广泛的网络接入</w:t>
            </w:r>
          </w:p>
        </w:tc>
        <w:tc>
          <w:tcPr>
            <w:tcW w:w="6807" w:type="dxa"/>
          </w:tcPr>
          <w:p w14:paraId="3B478FB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通过网络和标准机制提供功能，使手机、笔记本电脑、PDA 及其他软件客户端能够访问。</w:t>
            </w:r>
          </w:p>
        </w:tc>
      </w:tr>
      <w:tr w:rsidR="00133DB4" w:rsidRPr="002A3C61" w14:paraId="7298E9B4" w14:textId="77777777">
        <w:tc>
          <w:tcPr>
            <w:tcW w:w="2553" w:type="dxa"/>
          </w:tcPr>
          <w:p w14:paraId="12E9C34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快速可伸缩性</w:t>
            </w:r>
          </w:p>
        </w:tc>
        <w:tc>
          <w:tcPr>
            <w:tcW w:w="6807" w:type="dxa"/>
          </w:tcPr>
          <w:p w14:paraId="2CF5F3D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根据服务需求快速扩展或释放资源，资源规模对用户而言</w:t>
            </w:r>
            <w:r w:rsidRPr="002A3C61">
              <w:rPr>
                <w:rFonts w:asciiTheme="minorEastAsia" w:hAnsiTheme="minorEastAsia"/>
                <w:sz w:val="20"/>
                <w:szCs w:val="20"/>
              </w:rPr>
              <w:lastRenderedPageBreak/>
              <w:t>可近似无限。</w:t>
            </w:r>
          </w:p>
        </w:tc>
      </w:tr>
      <w:tr w:rsidR="00133DB4" w:rsidRPr="002A3C61" w14:paraId="240D0FE4" w14:textId="77777777">
        <w:tc>
          <w:tcPr>
            <w:tcW w:w="2553" w:type="dxa"/>
          </w:tcPr>
          <w:p w14:paraId="6F4A93B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lastRenderedPageBreak/>
              <w:t>计量服务</w:t>
            </w:r>
          </w:p>
        </w:tc>
        <w:tc>
          <w:tcPr>
            <w:tcW w:w="6807" w:type="dxa"/>
          </w:tcPr>
          <w:p w14:paraId="1B1231C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按存储、处理、带宽或活跃账户等服务类型自动计量、监视、控制和报告资源使用。</w:t>
            </w:r>
          </w:p>
        </w:tc>
      </w:tr>
      <w:tr w:rsidR="00133DB4" w:rsidRPr="002A3C61" w14:paraId="23DA813B" w14:textId="77777777">
        <w:tc>
          <w:tcPr>
            <w:tcW w:w="2553" w:type="dxa"/>
          </w:tcPr>
          <w:p w14:paraId="24275AD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按需自助服务</w:t>
            </w:r>
          </w:p>
        </w:tc>
        <w:tc>
          <w:tcPr>
            <w:tcW w:w="6807" w:type="dxa"/>
          </w:tcPr>
          <w:p w14:paraId="14D3FE9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云服务消费者可以单方面获取服务器时间、网络存储等资源，无须逐次人工交互。</w:t>
            </w:r>
          </w:p>
        </w:tc>
      </w:tr>
      <w:tr w:rsidR="00133DB4" w:rsidRPr="002A3C61" w14:paraId="3136B356" w14:textId="77777777">
        <w:tc>
          <w:tcPr>
            <w:tcW w:w="2553" w:type="dxa"/>
          </w:tcPr>
          <w:p w14:paraId="109C8BE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资源池化</w:t>
            </w:r>
          </w:p>
        </w:tc>
        <w:tc>
          <w:tcPr>
            <w:tcW w:w="6807" w:type="dxa"/>
          </w:tcPr>
          <w:p w14:paraId="60AEE93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提供商将物理和虚拟资源汇集，以多租户方式动态分配；消费者通常只指定较高层次的位置，不能控制具体设备。</w:t>
            </w:r>
          </w:p>
        </w:tc>
      </w:tr>
    </w:tbl>
    <w:p w14:paraId="1A8AAC7B" w14:textId="77777777" w:rsidR="00133DB4" w:rsidRPr="002A3C61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p w14:paraId="2392B6CE" w14:textId="77777777" w:rsidR="00133DB4" w:rsidRPr="002A3C61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这些特征共同形成云的弹性和经济性：资源不是企业永久拥有的 IT 组成，而是按需求取得、使用和释放的服务。</w:t>
      </w:r>
    </w:p>
    <w:p w14:paraId="4E7BC823" w14:textId="27E213D4" w:rsidR="00133DB4" w:rsidRPr="002A3C61" w:rsidRDefault="006F6EDB" w:rsidP="00CD19DA">
      <w:pPr>
        <w:spacing w:after="200"/>
        <w:jc w:val="center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noProof/>
        </w:rPr>
        <w:drawing>
          <wp:inline distT="0" distB="0" distL="0" distR="0" wp14:anchorId="615E72A3" wp14:editId="5B4632AA">
            <wp:extent cx="4286707" cy="3454158"/>
            <wp:effectExtent l="0" t="0" r="0" b="0"/>
            <wp:docPr id="868184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014" cy="346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494EA" w14:textId="6130AD25" w:rsidR="00133DB4" w:rsidRPr="002A3C61" w:rsidRDefault="00000000" w:rsidP="00CD19DA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2A3C61">
        <w:rPr>
          <w:rFonts w:asciiTheme="minorEastAsia" w:hAnsiTheme="minorEastAsia"/>
          <w:sz w:val="24"/>
          <w:szCs w:val="24"/>
        </w:rPr>
        <w:t>2. 学习目标 2：主要云服务模型</w:t>
      </w:r>
    </w:p>
    <w:p w14:paraId="7ED774C3" w14:textId="5F4652C4" w:rsidR="00CD19DA" w:rsidRPr="002A3C61" w:rsidRDefault="00000000" w:rsidP="00CD19DA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三个服务模型可视为逐层嵌套的选项：SaaS 建立在 PaaS 之上，PaaS 和 SaaS 又建立在 IaaS 提供的基础设施之上。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38"/>
      </w:tblGrid>
      <w:tr w:rsidR="00CD19DA" w:rsidRPr="002A3C61" w14:paraId="1AAFD77E" w14:textId="77777777" w:rsidTr="00CD19DA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727557A2" w14:textId="0EFF6ABF" w:rsidR="00CD19DA" w:rsidRPr="002A3C61" w:rsidRDefault="00CD19DA" w:rsidP="00CD19DA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21EA0701" wp14:editId="5F6D04EF">
                  <wp:extent cx="4259806" cy="3291840"/>
                  <wp:effectExtent l="0" t="0" r="7620" b="3810"/>
                  <wp:docPr id="131587986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7550" cy="3305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3DD5B" w14:textId="70534C52" w:rsidR="00133DB4" w:rsidRPr="002A3C61" w:rsidRDefault="00133DB4">
      <w:pPr>
        <w:spacing w:after="200"/>
        <w:rPr>
          <w:rFonts w:asciiTheme="minorEastAsia" w:hAnsiTheme="minorEastAsia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64"/>
        <w:gridCol w:w="1644"/>
        <w:gridCol w:w="1591"/>
        <w:gridCol w:w="1538"/>
        <w:gridCol w:w="1591"/>
      </w:tblGrid>
      <w:tr w:rsidR="00133DB4" w:rsidRPr="002A3C61" w14:paraId="6B8D826D" w14:textId="77777777">
        <w:trPr>
          <w:tblHeader/>
        </w:trPr>
        <w:tc>
          <w:tcPr>
            <w:tcW w:w="1317" w:type="dxa"/>
          </w:tcPr>
          <w:p w14:paraId="16BFAB1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2080" w:type="dxa"/>
          </w:tcPr>
          <w:p w14:paraId="5212C88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用户获得的能力</w:t>
            </w:r>
          </w:p>
        </w:tc>
        <w:tc>
          <w:tcPr>
            <w:tcW w:w="2011" w:type="dxa"/>
          </w:tcPr>
          <w:p w14:paraId="35A3A79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用户主要控制</w:t>
            </w:r>
          </w:p>
        </w:tc>
        <w:tc>
          <w:tcPr>
            <w:tcW w:w="1941" w:type="dxa"/>
          </w:tcPr>
          <w:p w14:paraId="6261A08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提供商主要负责</w:t>
            </w:r>
          </w:p>
        </w:tc>
        <w:tc>
          <w:tcPr>
            <w:tcW w:w="2011" w:type="dxa"/>
          </w:tcPr>
          <w:p w14:paraId="56573B5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典型例子</w:t>
            </w:r>
          </w:p>
        </w:tc>
      </w:tr>
      <w:tr w:rsidR="00133DB4" w:rsidRPr="002A3C61" w14:paraId="6F37BF61" w14:textId="77777777">
        <w:tc>
          <w:tcPr>
            <w:tcW w:w="1317" w:type="dxa"/>
          </w:tcPr>
          <w:p w14:paraId="2ED1846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软件即服务（SaaS）</w:t>
            </w:r>
          </w:p>
        </w:tc>
        <w:tc>
          <w:tcPr>
            <w:tcW w:w="2080" w:type="dxa"/>
          </w:tcPr>
          <w:p w14:paraId="36D190E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直接使用云中运行的应用软件。</w:t>
            </w:r>
          </w:p>
        </w:tc>
        <w:tc>
          <w:tcPr>
            <w:tcW w:w="2011" w:type="dxa"/>
          </w:tcPr>
          <w:p w14:paraId="20AFCE5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应用的使用和部分数据配置。</w:t>
            </w:r>
          </w:p>
        </w:tc>
        <w:tc>
          <w:tcPr>
            <w:tcW w:w="1941" w:type="dxa"/>
          </w:tcPr>
          <w:p w14:paraId="138AFDA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基础设施、平台以及应用的部署、维护、升级和补丁。</w:t>
            </w:r>
          </w:p>
        </w:tc>
        <w:tc>
          <w:tcPr>
            <w:tcW w:w="2011" w:type="dxa"/>
          </w:tcPr>
          <w:p w14:paraId="5632A02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Gmail、Microsoft 365、Salesforce、</w:t>
            </w:r>
            <w:proofErr w:type="spellStart"/>
            <w:r w:rsidRPr="002A3C61">
              <w:rPr>
                <w:rFonts w:asciiTheme="minorEastAsia" w:hAnsiTheme="minorEastAsia"/>
                <w:sz w:val="20"/>
                <w:szCs w:val="20"/>
              </w:rPr>
              <w:t>WebEx</w:t>
            </w:r>
            <w:proofErr w:type="spellEnd"/>
            <w:r w:rsidRPr="002A3C61">
              <w:rPr>
                <w:rFonts w:asciiTheme="minorEastAsia" w:hAnsiTheme="minorEastAsia"/>
                <w:sz w:val="20"/>
                <w:szCs w:val="20"/>
              </w:rPr>
              <w:t>。</w:t>
            </w:r>
          </w:p>
        </w:tc>
      </w:tr>
      <w:tr w:rsidR="00133DB4" w:rsidRPr="002A3C61" w14:paraId="77573ACB" w14:textId="77777777">
        <w:tc>
          <w:tcPr>
            <w:tcW w:w="1317" w:type="dxa"/>
          </w:tcPr>
          <w:p w14:paraId="48B5CEB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平台即服务（PaaS）</w:t>
            </w:r>
          </w:p>
        </w:tc>
        <w:tc>
          <w:tcPr>
            <w:tcW w:w="2080" w:type="dxa"/>
          </w:tcPr>
          <w:p w14:paraId="01C7503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在云平台上开发、测试、部署和管理应用。</w:t>
            </w:r>
          </w:p>
        </w:tc>
        <w:tc>
          <w:tcPr>
            <w:tcW w:w="2011" w:type="dxa"/>
          </w:tcPr>
          <w:p w14:paraId="565D27B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自己部署的应用及相关数据。</w:t>
            </w:r>
          </w:p>
        </w:tc>
        <w:tc>
          <w:tcPr>
            <w:tcW w:w="1941" w:type="dxa"/>
          </w:tcPr>
          <w:p w14:paraId="4ECA951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基础设施、运行环境、数据库、中间件和开发工具。</w:t>
            </w:r>
          </w:p>
        </w:tc>
        <w:tc>
          <w:tcPr>
            <w:tcW w:w="2011" w:type="dxa"/>
          </w:tcPr>
          <w:p w14:paraId="4CC687D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Google App Engine、Heroku、Azure Cloud Services。</w:t>
            </w:r>
          </w:p>
        </w:tc>
      </w:tr>
      <w:tr w:rsidR="00133DB4" w:rsidRPr="002A3C61" w14:paraId="6556E080" w14:textId="77777777">
        <w:tc>
          <w:tcPr>
            <w:tcW w:w="1317" w:type="dxa"/>
          </w:tcPr>
          <w:p w14:paraId="6877743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基础设施即服务（IaaS）</w:t>
            </w:r>
          </w:p>
        </w:tc>
        <w:tc>
          <w:tcPr>
            <w:tcW w:w="2080" w:type="dxa"/>
          </w:tcPr>
          <w:p w14:paraId="49B1F5D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使用虚拟机、存储、网络和其他基础计算资源部署任意软件。</w:t>
            </w:r>
          </w:p>
        </w:tc>
        <w:tc>
          <w:tcPr>
            <w:tcW w:w="2011" w:type="dxa"/>
          </w:tcPr>
          <w:p w14:paraId="4B30F1C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操作系统、应用程序及部分网络组件（如主机防火墙）。</w:t>
            </w:r>
          </w:p>
        </w:tc>
        <w:tc>
          <w:tcPr>
            <w:tcW w:w="1941" w:type="dxa"/>
          </w:tcPr>
          <w:p w14:paraId="2FB738E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物理服务器、网络、存储和托管设施。</w:t>
            </w:r>
          </w:p>
        </w:tc>
        <w:tc>
          <w:tcPr>
            <w:tcW w:w="2011" w:type="dxa"/>
          </w:tcPr>
          <w:p w14:paraId="230DD95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Amazon EC2、Microsoft Azure、Google Compute Engine。</w:t>
            </w:r>
          </w:p>
        </w:tc>
      </w:tr>
    </w:tbl>
    <w:p w14:paraId="15D3FD75" w14:textId="47149CBA" w:rsidR="00133DB4" w:rsidRPr="002A3C61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服务模型的核心差异是责任边界：从 SaaS 到 IaaS，消费者获得的控制逐渐增加，同</w:t>
      </w:r>
      <w:r w:rsidRPr="002A3C61">
        <w:rPr>
          <w:rFonts w:asciiTheme="minorEastAsia" w:hAnsiTheme="minorEastAsia"/>
          <w:sz w:val="20"/>
          <w:szCs w:val="20"/>
        </w:rPr>
        <w:lastRenderedPageBreak/>
        <w:t>时也承担更多配置和安全责任。</w:t>
      </w:r>
    </w:p>
    <w:p w14:paraId="00AF2C54" w14:textId="77777777" w:rsidR="00133DB4" w:rsidRPr="002A3C61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p w14:paraId="62DF6E3B" w14:textId="50615E41" w:rsidR="00133DB4" w:rsidRPr="002A3C61" w:rsidRDefault="00000000" w:rsidP="00CD19DA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2A3C61">
        <w:rPr>
          <w:rFonts w:asciiTheme="minorEastAsia" w:hAnsiTheme="minorEastAsia"/>
          <w:sz w:val="24"/>
          <w:szCs w:val="24"/>
        </w:rPr>
        <w:t>3. 学习目标 3：云部署模型</w:t>
      </w:r>
    </w:p>
    <w:p w14:paraId="575CBAFD" w14:textId="6CB716CC" w:rsidR="00133DB4" w:rsidRPr="002A3C61" w:rsidRDefault="00000000" w:rsidP="00CD19DA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2A3C61">
        <w:rPr>
          <w:rFonts w:asciiTheme="minorEastAsia" w:hAnsiTheme="minorEastAsia"/>
          <w:sz w:val="22"/>
          <w:szCs w:val="22"/>
        </w:rPr>
        <w:t>3.1 四种模型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13"/>
        <w:gridCol w:w="2086"/>
        <w:gridCol w:w="2086"/>
        <w:gridCol w:w="2543"/>
      </w:tblGrid>
      <w:tr w:rsidR="00133DB4" w:rsidRPr="002A3C61" w14:paraId="012C8976" w14:textId="77777777">
        <w:trPr>
          <w:tblHeader/>
        </w:trPr>
        <w:tc>
          <w:tcPr>
            <w:tcW w:w="851" w:type="dxa"/>
          </w:tcPr>
          <w:p w14:paraId="1B7E6B7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2638" w:type="dxa"/>
          </w:tcPr>
          <w:p w14:paraId="5BEE12E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所有权和使用方式</w:t>
            </w:r>
          </w:p>
        </w:tc>
        <w:tc>
          <w:tcPr>
            <w:tcW w:w="2638" w:type="dxa"/>
          </w:tcPr>
          <w:p w14:paraId="575894E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主要优势</w:t>
            </w:r>
          </w:p>
        </w:tc>
        <w:tc>
          <w:tcPr>
            <w:tcW w:w="3233" w:type="dxa"/>
          </w:tcPr>
          <w:p w14:paraId="7C55C32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主要限制或风险</w:t>
            </w:r>
          </w:p>
        </w:tc>
      </w:tr>
      <w:tr w:rsidR="00133DB4" w:rsidRPr="002A3C61" w14:paraId="21D37AB0" w14:textId="77777777">
        <w:tc>
          <w:tcPr>
            <w:tcW w:w="851" w:type="dxa"/>
          </w:tcPr>
          <w:p w14:paraId="24A222B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公有云</w:t>
            </w:r>
          </w:p>
        </w:tc>
        <w:tc>
          <w:tcPr>
            <w:tcW w:w="2638" w:type="dxa"/>
          </w:tcPr>
          <w:p w14:paraId="7B19F4A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面向公众或大型行业，由提供商拥有和运营，多租户共享基础设施。</w:t>
            </w:r>
          </w:p>
        </w:tc>
        <w:tc>
          <w:tcPr>
            <w:tcW w:w="2638" w:type="dxa"/>
          </w:tcPr>
          <w:p w14:paraId="2DCBCF4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成本低、按使用付费、易于扩展、管理开销小。</w:t>
            </w:r>
          </w:p>
        </w:tc>
        <w:tc>
          <w:tcPr>
            <w:tcW w:w="3233" w:type="dxa"/>
          </w:tcPr>
          <w:p w14:paraId="7EDA900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服务等级和数据恢复保证可能较低；隐私与合规责任仍由消费者承担；租户隔离程度取决于提供商。</w:t>
            </w:r>
          </w:p>
        </w:tc>
      </w:tr>
      <w:tr w:rsidR="00133DB4" w:rsidRPr="002A3C61" w14:paraId="7BFE23B4" w14:textId="77777777">
        <w:tc>
          <w:tcPr>
            <w:tcW w:w="851" w:type="dxa"/>
          </w:tcPr>
          <w:p w14:paraId="4916836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私有云</w:t>
            </w:r>
          </w:p>
        </w:tc>
        <w:tc>
          <w:tcPr>
            <w:tcW w:w="2638" w:type="dxa"/>
          </w:tcPr>
          <w:p w14:paraId="7FBB317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在企业内部实现，或由第三方用专用资源托管。</w:t>
            </w:r>
          </w:p>
        </w:tc>
        <w:tc>
          <w:tcPr>
            <w:tcW w:w="2638" w:type="dxa"/>
          </w:tcPr>
          <w:p w14:paraId="4B64E35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对数据位置、安全控制和资源共享有更强控制，安全性通常最高。</w:t>
            </w:r>
          </w:p>
        </w:tc>
        <w:tc>
          <w:tcPr>
            <w:tcW w:w="3233" w:type="dxa"/>
          </w:tcPr>
          <w:p w14:paraId="787357D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成本较高，可扩展性受企业资源限制。</w:t>
            </w:r>
          </w:p>
        </w:tc>
      </w:tr>
      <w:tr w:rsidR="00133DB4" w:rsidRPr="002A3C61" w14:paraId="352917B3" w14:textId="77777777">
        <w:tc>
          <w:tcPr>
            <w:tcW w:w="851" w:type="dxa"/>
          </w:tcPr>
          <w:p w14:paraId="5FACA49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社区云</w:t>
            </w:r>
          </w:p>
        </w:tc>
        <w:tc>
          <w:tcPr>
            <w:tcW w:w="2638" w:type="dxa"/>
          </w:tcPr>
          <w:p w14:paraId="7D339DA7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具有共同需求的多个机构共享受限云资源，例如卫生保健机构。</w:t>
            </w:r>
          </w:p>
        </w:tc>
        <w:tc>
          <w:tcPr>
            <w:tcW w:w="2638" w:type="dxa"/>
          </w:tcPr>
          <w:p w14:paraId="40341D9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可在满足法规和数据交换需求的同时分摊成本。</w:t>
            </w:r>
          </w:p>
        </w:tc>
        <w:tc>
          <w:tcPr>
            <w:tcW w:w="3233" w:type="dxa"/>
          </w:tcPr>
          <w:p w14:paraId="2A5FB82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参与者较少，成本和资源规模介于公有云与私有云之间。</w:t>
            </w:r>
          </w:p>
        </w:tc>
      </w:tr>
      <w:tr w:rsidR="00133DB4" w:rsidRPr="002A3C61" w14:paraId="73F968EF" w14:textId="77777777">
        <w:tc>
          <w:tcPr>
            <w:tcW w:w="851" w:type="dxa"/>
          </w:tcPr>
          <w:p w14:paraId="047EEBD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混合云</w:t>
            </w:r>
          </w:p>
        </w:tc>
        <w:tc>
          <w:tcPr>
            <w:tcW w:w="2638" w:type="dxa"/>
          </w:tcPr>
          <w:p w14:paraId="142A91B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两个或多个独立的私有、社区或公有云通过标准化或专有技术连接。</w:t>
            </w:r>
          </w:p>
        </w:tc>
        <w:tc>
          <w:tcPr>
            <w:tcW w:w="2638" w:type="dxa"/>
          </w:tcPr>
          <w:p w14:paraId="4023ED1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敏感信息可留在私有区域，非敏感信息利用公有云的成本和弹性。</w:t>
            </w:r>
          </w:p>
        </w:tc>
        <w:tc>
          <w:tcPr>
            <w:tcW w:w="3233" w:type="dxa"/>
          </w:tcPr>
          <w:p w14:paraId="3D4AA71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需要保证跨云的数据与应用可移植性以及安全链路。</w:t>
            </w:r>
          </w:p>
        </w:tc>
      </w:tr>
    </w:tbl>
    <w:p w14:paraId="5677A57D" w14:textId="77777777" w:rsidR="00CD19DA" w:rsidRPr="002A3C61" w:rsidRDefault="00CD19DA">
      <w:pPr>
        <w:spacing w:after="120"/>
        <w:rPr>
          <w:rFonts w:asciiTheme="minorEastAsia" w:hAnsiTheme="minorEastAsia"/>
          <w:sz w:val="20"/>
          <w:szCs w:val="20"/>
        </w:rPr>
      </w:pPr>
    </w:p>
    <w:p w14:paraId="3FE2B360" w14:textId="0BEB21AD" w:rsidR="00133DB4" w:rsidRPr="002A3C61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典型属性比较如下：公有云的可扩展性最高、成本最低但性能和可靠性相对较低；私有云成本最高但安全性、性能和可靠性最好；社区云在多个机构间分摊成本；混合云兼顾较高扩展性、安全性和性能。</w:t>
      </w:r>
    </w:p>
    <w:p w14:paraId="77084EA7" w14:textId="77777777" w:rsidR="00133DB4" w:rsidRPr="002A3C61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p w14:paraId="63B902E1" w14:textId="0BA9CB5B" w:rsidR="00133DB4" w:rsidRPr="002A3C61" w:rsidRDefault="00000000" w:rsidP="00CD19DA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2A3C61">
        <w:rPr>
          <w:rFonts w:asciiTheme="minorEastAsia" w:hAnsiTheme="minorEastAsia"/>
          <w:sz w:val="22"/>
          <w:szCs w:val="22"/>
        </w:rPr>
        <w:t>3.2 公有云与私有云配置</w:t>
      </w:r>
    </w:p>
    <w:p w14:paraId="470D23A5" w14:textId="5E1D5CFD" w:rsidR="00CD19DA" w:rsidRPr="002A3C61" w:rsidRDefault="00000000" w:rsidP="00CD19DA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公有云中的企业资源与其他客户资源隔离，但可能共享同一物理硬件或虚拟化平台。私有云可以位于企业内部，也可以由云提供商使用不与其他客户共享的专用资源托管；远程用户通常通过 VPN 连接到企业安全边界。</w:t>
      </w:r>
    </w:p>
    <w:p w14:paraId="3B186F56" w14:textId="77777777" w:rsidR="00CD19DA" w:rsidRPr="002A3C61" w:rsidRDefault="00CD19DA" w:rsidP="00CD19DA">
      <w:pPr>
        <w:spacing w:after="120"/>
        <w:rPr>
          <w:rFonts w:asciiTheme="minorEastAsia" w:hAnsiTheme="minorEastAsia"/>
          <w:sz w:val="20"/>
          <w:szCs w:val="20"/>
        </w:rPr>
      </w:pPr>
    </w:p>
    <w:p w14:paraId="070142A6" w14:textId="77777777" w:rsidR="00CD19DA" w:rsidRPr="002A3C61" w:rsidRDefault="00CD19DA" w:rsidP="00CD19DA">
      <w:pPr>
        <w:spacing w:after="120"/>
        <w:rPr>
          <w:rFonts w:asciiTheme="minorEastAsia" w:hAnsiTheme="minorEastAsia"/>
          <w:sz w:val="20"/>
          <w:szCs w:val="20"/>
        </w:rPr>
      </w:pPr>
    </w:p>
    <w:p w14:paraId="024DBFBA" w14:textId="370C0CED" w:rsidR="00133DB4" w:rsidRPr="002A3C61" w:rsidRDefault="00000000" w:rsidP="00CD19DA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2A3C61">
        <w:rPr>
          <w:rFonts w:asciiTheme="minorEastAsia" w:hAnsiTheme="minorEastAsia"/>
          <w:sz w:val="24"/>
          <w:szCs w:val="24"/>
        </w:rPr>
        <w:t>4. 学习目标 4：NIST 云计算参考架构</w:t>
      </w:r>
    </w:p>
    <w:p w14:paraId="3B5D984D" w14:textId="220AB664" w:rsidR="00CD19DA" w:rsidRPr="002A3C61" w:rsidRDefault="00000000" w:rsidP="00CD19DA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lastRenderedPageBreak/>
        <w:t>NIST 云计算参考架构是讨论云服务“是什么”的通用高层概念模型，不是某个具体云系统的实现架构。它用于理解、分类和比较云服务，也支持对安全性、互操作性、可移植性及参考实现标准的分析。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38"/>
      </w:tblGrid>
      <w:tr w:rsidR="00CD19DA" w:rsidRPr="002A3C61" w14:paraId="1297D881" w14:textId="77777777" w:rsidTr="00CD19DA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2BCDD602" w14:textId="4D2FB8FD" w:rsidR="00CD19DA" w:rsidRPr="002A3C61" w:rsidRDefault="00CD19DA" w:rsidP="00CD19DA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noProof/>
              </w:rPr>
              <w:drawing>
                <wp:inline distT="0" distB="0" distL="0" distR="0" wp14:anchorId="6B4DDBA8" wp14:editId="5DB1B1B2">
                  <wp:extent cx="4617273" cy="2852928"/>
                  <wp:effectExtent l="0" t="0" r="0" b="5080"/>
                  <wp:docPr id="113134688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937" cy="2872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EBC3F" w14:textId="01539776" w:rsidR="00133DB4" w:rsidRPr="002A3C61" w:rsidRDefault="00000000" w:rsidP="00CD19DA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2A3C61">
        <w:rPr>
          <w:rFonts w:asciiTheme="minorEastAsia" w:hAnsiTheme="minorEastAsia"/>
          <w:sz w:val="22"/>
          <w:szCs w:val="22"/>
        </w:rPr>
        <w:t>4.1 五个主要角色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5"/>
        <w:gridCol w:w="4933"/>
      </w:tblGrid>
      <w:tr w:rsidR="00133DB4" w:rsidRPr="002A3C61" w14:paraId="7E0AF19E" w14:textId="77777777">
        <w:trPr>
          <w:tblHeader/>
        </w:trPr>
        <w:tc>
          <w:tcPr>
            <w:tcW w:w="3120" w:type="dxa"/>
          </w:tcPr>
          <w:p w14:paraId="1D187DC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6240" w:type="dxa"/>
          </w:tcPr>
          <w:p w14:paraId="4F9E114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职责</w:t>
            </w:r>
          </w:p>
        </w:tc>
      </w:tr>
      <w:tr w:rsidR="00133DB4" w:rsidRPr="002A3C61" w14:paraId="4E1F1561" w14:textId="77777777">
        <w:tc>
          <w:tcPr>
            <w:tcW w:w="3120" w:type="dxa"/>
          </w:tcPr>
          <w:p w14:paraId="04E4262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云服务消费者（CSC）</w:t>
            </w:r>
          </w:p>
        </w:tc>
        <w:tc>
          <w:tcPr>
            <w:tcW w:w="6240" w:type="dxa"/>
          </w:tcPr>
          <w:p w14:paraId="3F983B1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与云服务提供商保持商业关系并使用云服务的个人或企业。</w:t>
            </w:r>
          </w:p>
        </w:tc>
      </w:tr>
      <w:tr w:rsidR="00133DB4" w:rsidRPr="002A3C61" w14:paraId="468FA2DB" w14:textId="77777777">
        <w:tc>
          <w:tcPr>
            <w:tcW w:w="3120" w:type="dxa"/>
          </w:tcPr>
          <w:p w14:paraId="1983FD0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云服务提供商（CSP）</w:t>
            </w:r>
          </w:p>
        </w:tc>
        <w:tc>
          <w:tcPr>
            <w:tcW w:w="6240" w:type="dxa"/>
          </w:tcPr>
          <w:p w14:paraId="778F1117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提供一个或多个云服务，管理相应的存储、处理设施和云接口。</w:t>
            </w:r>
          </w:p>
        </w:tc>
      </w:tr>
      <w:tr w:rsidR="00133DB4" w:rsidRPr="002A3C61" w14:paraId="21E44435" w14:textId="77777777">
        <w:tc>
          <w:tcPr>
            <w:tcW w:w="3120" w:type="dxa"/>
          </w:tcPr>
          <w:p w14:paraId="0F677D0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云审计者</w:t>
            </w:r>
          </w:p>
        </w:tc>
        <w:tc>
          <w:tcPr>
            <w:tcW w:w="6240" w:type="dxa"/>
          </w:tcPr>
          <w:p w14:paraId="10337A37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独立评估云服务、信息系统操作、性能以及安全性和隐私控制。</w:t>
            </w:r>
          </w:p>
        </w:tc>
      </w:tr>
      <w:tr w:rsidR="00133DB4" w:rsidRPr="002A3C61" w14:paraId="0AC016EB" w14:textId="77777777">
        <w:tc>
          <w:tcPr>
            <w:tcW w:w="3120" w:type="dxa"/>
          </w:tcPr>
          <w:p w14:paraId="4D196FE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云经销商或云代理商</w:t>
            </w:r>
          </w:p>
        </w:tc>
        <w:tc>
          <w:tcPr>
            <w:tcW w:w="6240" w:type="dxa"/>
          </w:tcPr>
          <w:p w14:paraId="63E607A4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在 CSP 与云用户之间管理、组合或转售服务，并可提供身份管理、性能报告等增值服务。</w:t>
            </w:r>
          </w:p>
        </w:tc>
      </w:tr>
      <w:tr w:rsidR="00133DB4" w:rsidRPr="002A3C61" w14:paraId="08853038" w14:textId="77777777">
        <w:tc>
          <w:tcPr>
            <w:tcW w:w="3120" w:type="dxa"/>
          </w:tcPr>
          <w:p w14:paraId="063BDDE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云承载商</w:t>
            </w:r>
          </w:p>
        </w:tc>
        <w:tc>
          <w:tcPr>
            <w:tcW w:w="6240" w:type="dxa"/>
          </w:tcPr>
          <w:p w14:paraId="41BCF16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提供 CSC 与 CSP 之间的连接和传输，可按 SLA 要求提供专用安全连接。</w:t>
            </w:r>
          </w:p>
        </w:tc>
      </w:tr>
    </w:tbl>
    <w:p w14:paraId="69D1E2FB" w14:textId="3122D54B" w:rsidR="00133DB4" w:rsidRPr="002A3C61" w:rsidRDefault="00133DB4" w:rsidP="00CD19DA">
      <w:pPr>
        <w:spacing w:before="240"/>
        <w:rPr>
          <w:rFonts w:asciiTheme="minorEastAsia" w:hAnsiTheme="minorEastAsia"/>
          <w:sz w:val="20"/>
          <w:szCs w:val="20"/>
        </w:rPr>
      </w:pPr>
    </w:p>
    <w:p w14:paraId="27C75EC2" w14:textId="2673E352" w:rsidR="00133DB4" w:rsidRPr="002A3C61" w:rsidRDefault="00000000" w:rsidP="00B04293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云代理商的三类服务是：服务中介（增加身份管理、报告或安全功能）、服务聚合（组合多个云服务）和服务套利（根据需要灵活选择不同代理机构的服务）。</w:t>
      </w:r>
    </w:p>
    <w:p w14:paraId="550DC006" w14:textId="77777777" w:rsidR="00B04293" w:rsidRPr="002A3C61" w:rsidRDefault="00B04293" w:rsidP="00B04293">
      <w:pPr>
        <w:spacing w:after="120"/>
        <w:rPr>
          <w:rFonts w:asciiTheme="minorEastAsia" w:hAnsiTheme="minorEastAsia"/>
          <w:sz w:val="20"/>
          <w:szCs w:val="20"/>
        </w:rPr>
      </w:pPr>
    </w:p>
    <w:p w14:paraId="3EF18E9E" w14:textId="3C701A31" w:rsidR="00133DB4" w:rsidRPr="002A3C61" w:rsidRDefault="00000000" w:rsidP="00CD19DA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2A3C61">
        <w:rPr>
          <w:rFonts w:asciiTheme="minorEastAsia" w:hAnsiTheme="minorEastAsia"/>
          <w:sz w:val="22"/>
          <w:szCs w:val="22"/>
        </w:rPr>
        <w:lastRenderedPageBreak/>
        <w:t>4.2 三类网络关注点</w:t>
      </w:r>
    </w:p>
    <w:p w14:paraId="163146DA" w14:textId="1DF77F41" w:rsidR="00133DB4" w:rsidRPr="002A3C61" w:rsidRDefault="00000000" w:rsidP="00B04293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参考架构中的交互涉及三类网络：CSP 的数据中心网络关注虚拟机部署、迁移、负载平衡和可用性；企业网络包含 LAN、服务器、工作站和移动设备，关注性能、安全和管理；云承载商网络需要在适当 SLA 和安全保证下建立虚拟网络。</w:t>
      </w:r>
    </w:p>
    <w:p w14:paraId="41AE0938" w14:textId="0C84CCF0" w:rsidR="00133DB4" w:rsidRPr="002A3C61" w:rsidRDefault="00000000" w:rsidP="00CD19DA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2A3C61">
        <w:rPr>
          <w:rFonts w:asciiTheme="minorEastAsia" w:hAnsiTheme="minorEastAsia"/>
          <w:sz w:val="24"/>
          <w:szCs w:val="24"/>
        </w:rPr>
        <w:t>5. 学习目标 5：云计算的特殊安全问题</w:t>
      </w:r>
    </w:p>
    <w:p w14:paraId="602C5E05" w14:textId="380C3B50" w:rsidR="00133DB4" w:rsidRPr="002A3C61" w:rsidRDefault="00000000" w:rsidP="00CD19DA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2A3C61">
        <w:rPr>
          <w:rFonts w:asciiTheme="minorEastAsia" w:hAnsiTheme="minorEastAsia"/>
          <w:sz w:val="22"/>
          <w:szCs w:val="22"/>
        </w:rPr>
        <w:t>5.1 云安全的责任与治理</w:t>
      </w:r>
    </w:p>
    <w:p w14:paraId="211FBD69" w14:textId="77777777" w:rsidR="00133DB4" w:rsidRPr="002A3C61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云计算并没有消除传统 IT 安全问题，还因多租户、资源共享、动态分配和控制权转移产生特殊风险。企业即使将资源、服务和应用的控制交给 CSP，仍必须对自身安全和隐私策略负责。</w:t>
      </w:r>
    </w:p>
    <w:p w14:paraId="59B22595" w14:textId="77777777" w:rsidR="00133DB4" w:rsidRPr="002A3C61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p w14:paraId="3E0DD3CD" w14:textId="49DEF356" w:rsidR="00133DB4" w:rsidRPr="002A3C61" w:rsidRDefault="00000000" w:rsidP="00B04293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NIST 云安全指南要求从以下方面治理云环境：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79"/>
        <w:gridCol w:w="4749"/>
      </w:tblGrid>
      <w:tr w:rsidR="00133DB4" w:rsidRPr="002A3C61" w14:paraId="397EBB05" w14:textId="77777777">
        <w:trPr>
          <w:tblHeader/>
        </w:trPr>
        <w:tc>
          <w:tcPr>
            <w:tcW w:w="3355" w:type="dxa"/>
          </w:tcPr>
          <w:p w14:paraId="338321C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方面</w:t>
            </w:r>
          </w:p>
        </w:tc>
        <w:tc>
          <w:tcPr>
            <w:tcW w:w="6005" w:type="dxa"/>
          </w:tcPr>
          <w:p w14:paraId="48B3EC5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核心要求</w:t>
            </w:r>
          </w:p>
        </w:tc>
      </w:tr>
      <w:tr w:rsidR="00133DB4" w:rsidRPr="002A3C61" w14:paraId="62E0B371" w14:textId="77777777">
        <w:tc>
          <w:tcPr>
            <w:tcW w:w="3355" w:type="dxa"/>
          </w:tcPr>
          <w:p w14:paraId="4DD97A7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管理</w:t>
            </w:r>
          </w:p>
        </w:tc>
        <w:tc>
          <w:tcPr>
            <w:tcW w:w="6005" w:type="dxa"/>
          </w:tcPr>
          <w:p w14:paraId="2B3D1F2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把云应用开发和服务使用纳入企业策略、程序、标准、审计和全生命周期监督。</w:t>
            </w:r>
          </w:p>
        </w:tc>
      </w:tr>
      <w:tr w:rsidR="00133DB4" w:rsidRPr="002A3C61" w14:paraId="46CB7338" w14:textId="77777777">
        <w:tc>
          <w:tcPr>
            <w:tcW w:w="3355" w:type="dxa"/>
          </w:tcPr>
          <w:p w14:paraId="6150F08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合规性</w:t>
            </w:r>
          </w:p>
        </w:tc>
        <w:tc>
          <w:tcPr>
            <w:tcW w:w="6005" w:type="dxa"/>
          </w:tcPr>
          <w:p w14:paraId="7929771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审查数据位置、隐私、记录管理、电子发现和合同条款，确认满足法律法规。</w:t>
            </w:r>
          </w:p>
        </w:tc>
      </w:tr>
      <w:tr w:rsidR="00133DB4" w:rsidRPr="002A3C61" w14:paraId="3B40382F" w14:textId="77777777">
        <w:tc>
          <w:tcPr>
            <w:tcW w:w="3355" w:type="dxa"/>
          </w:tcPr>
          <w:p w14:paraId="0610038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可信性</w:t>
            </w:r>
          </w:p>
        </w:tc>
        <w:tc>
          <w:tcPr>
            <w:tcW w:w="6005" w:type="dxa"/>
          </w:tcPr>
          <w:p w14:paraId="2F64709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保持对安全控制、数据所有权和系统安全状态的可见性，持续进行风险管理。</w:t>
            </w:r>
          </w:p>
        </w:tc>
      </w:tr>
      <w:tr w:rsidR="00133DB4" w:rsidRPr="002A3C61" w14:paraId="7A278592" w14:textId="77777777">
        <w:tc>
          <w:tcPr>
            <w:tcW w:w="3355" w:type="dxa"/>
          </w:tcPr>
          <w:p w14:paraId="29B8290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架构</w:t>
            </w:r>
          </w:p>
        </w:tc>
        <w:tc>
          <w:tcPr>
            <w:tcW w:w="6005" w:type="dxa"/>
          </w:tcPr>
          <w:p w14:paraId="190BF0F4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理解 CSP 底层技术及其对整个系统生命周期和组件安全的影响。</w:t>
            </w:r>
          </w:p>
        </w:tc>
      </w:tr>
      <w:tr w:rsidR="00133DB4" w:rsidRPr="002A3C61" w14:paraId="28DBCF4E" w14:textId="77777777">
        <w:tc>
          <w:tcPr>
            <w:tcW w:w="3355" w:type="dxa"/>
          </w:tcPr>
          <w:p w14:paraId="593C367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身份及访问管理（IAM）</w:t>
            </w:r>
          </w:p>
        </w:tc>
        <w:tc>
          <w:tcPr>
            <w:tcW w:w="6005" w:type="dxa"/>
          </w:tcPr>
          <w:p w14:paraId="76013F0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保护身份验证、授权及其他 IAM 功能。</w:t>
            </w:r>
          </w:p>
        </w:tc>
      </w:tr>
      <w:tr w:rsidR="00133DB4" w:rsidRPr="002A3C61" w14:paraId="4CAC4E50" w14:textId="77777777">
        <w:tc>
          <w:tcPr>
            <w:tcW w:w="3355" w:type="dxa"/>
          </w:tcPr>
          <w:p w14:paraId="13AC9C3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软件隔离</w:t>
            </w:r>
          </w:p>
        </w:tc>
        <w:tc>
          <w:tcPr>
            <w:tcW w:w="6005" w:type="dxa"/>
          </w:tcPr>
          <w:p w14:paraId="5FF171E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评估多租户虚拟化和逻辑隔离技术带来的风险。</w:t>
            </w:r>
          </w:p>
        </w:tc>
      </w:tr>
      <w:tr w:rsidR="00133DB4" w:rsidRPr="002A3C61" w14:paraId="010724D6" w14:textId="77777777">
        <w:tc>
          <w:tcPr>
            <w:tcW w:w="3355" w:type="dxa"/>
          </w:tcPr>
          <w:p w14:paraId="09453C44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数据保护</w:t>
            </w:r>
          </w:p>
        </w:tc>
        <w:tc>
          <w:tcPr>
            <w:tcW w:w="6005" w:type="dxa"/>
          </w:tcPr>
          <w:p w14:paraId="4025B114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在静止、传输和使用时保护数据，并安全清理数据。</w:t>
            </w:r>
          </w:p>
        </w:tc>
      </w:tr>
      <w:tr w:rsidR="00133DB4" w:rsidRPr="002A3C61" w14:paraId="6545CA2E" w14:textId="77777777">
        <w:tc>
          <w:tcPr>
            <w:tcW w:w="3355" w:type="dxa"/>
          </w:tcPr>
          <w:p w14:paraId="0A1CCDA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可用性</w:t>
            </w:r>
          </w:p>
        </w:tc>
        <w:tc>
          <w:tcPr>
            <w:tcW w:w="6005" w:type="dxa"/>
          </w:tcPr>
          <w:p w14:paraId="0E0B5EF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评估备份、恢复和灾难恢复合同，确保关键操作可及时恢复。</w:t>
            </w:r>
          </w:p>
        </w:tc>
      </w:tr>
      <w:tr w:rsidR="00133DB4" w:rsidRPr="002A3C61" w14:paraId="72629571" w14:textId="77777777">
        <w:tc>
          <w:tcPr>
            <w:tcW w:w="3355" w:type="dxa"/>
          </w:tcPr>
          <w:p w14:paraId="416A369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应急响应</w:t>
            </w:r>
          </w:p>
        </w:tc>
        <w:tc>
          <w:tcPr>
            <w:tcW w:w="6005" w:type="dxa"/>
          </w:tcPr>
          <w:p w14:paraId="22BE1CC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明确企业与 CSP 的角色、透明响应流程和事件后的信息共享。</w:t>
            </w:r>
          </w:p>
        </w:tc>
      </w:tr>
    </w:tbl>
    <w:p w14:paraId="299336E1" w14:textId="11721185" w:rsidR="00133DB4" w:rsidRPr="002A3C61" w:rsidRDefault="00133DB4" w:rsidP="00B04293">
      <w:pPr>
        <w:spacing w:before="240"/>
        <w:rPr>
          <w:rFonts w:asciiTheme="minorEastAsia" w:hAnsiTheme="minorEastAsia"/>
          <w:sz w:val="20"/>
          <w:szCs w:val="20"/>
        </w:rPr>
      </w:pPr>
    </w:p>
    <w:p w14:paraId="0FAD2FCE" w14:textId="77777777" w:rsidR="00133DB4" w:rsidRPr="002A3C61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安全责任通常由三方共同承担：云用户负责应用级安全，CSP 负责物理设施和部分软件安全，中间软件层由双方共同保障。采用云服务前，企业需要调查 CSP 的安全能</w:t>
      </w:r>
      <w:r w:rsidRPr="002A3C61">
        <w:rPr>
          <w:rFonts w:asciiTheme="minorEastAsia" w:hAnsiTheme="minorEastAsia"/>
          <w:sz w:val="20"/>
          <w:szCs w:val="20"/>
        </w:rPr>
        <w:lastRenderedPageBreak/>
        <w:t>力、合同、SLA、数据位置、可审计性和退出机制。</w:t>
      </w:r>
    </w:p>
    <w:p w14:paraId="04E2EE8C" w14:textId="66355E1F" w:rsidR="00B04293" w:rsidRPr="002A3C61" w:rsidRDefault="00B04293">
      <w:pPr>
        <w:spacing w:after="200"/>
        <w:rPr>
          <w:rFonts w:asciiTheme="minorEastAsia" w:hAnsiTheme="minorEastAsia"/>
          <w:sz w:val="20"/>
          <w:szCs w:val="20"/>
        </w:rPr>
      </w:pPr>
    </w:p>
    <w:p w14:paraId="229BBA1B" w14:textId="64504734" w:rsidR="00133DB4" w:rsidRPr="002A3C61" w:rsidRDefault="00000000" w:rsidP="00B04293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2A3C61">
        <w:rPr>
          <w:rFonts w:asciiTheme="minorEastAsia" w:hAnsiTheme="minorEastAsia"/>
          <w:sz w:val="22"/>
          <w:szCs w:val="22"/>
        </w:rPr>
        <w:t>5.2 STRIDE 威胁模型</w:t>
      </w:r>
    </w:p>
    <w:p w14:paraId="4B3F4FA3" w14:textId="77777777" w:rsidR="00133DB4" w:rsidRPr="002A3C61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STRIDE 是微软提出的蓄意攻击分类系统，六个字母分别代表：</w:t>
      </w:r>
    </w:p>
    <w:p w14:paraId="56DEF209" w14:textId="77777777" w:rsidR="00133DB4" w:rsidRPr="002A3C61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11"/>
        <w:gridCol w:w="3406"/>
        <w:gridCol w:w="2011"/>
      </w:tblGrid>
      <w:tr w:rsidR="00133DB4" w:rsidRPr="002A3C61" w14:paraId="168011A6" w14:textId="77777777">
        <w:trPr>
          <w:tblHeader/>
        </w:trPr>
        <w:tc>
          <w:tcPr>
            <w:tcW w:w="2520" w:type="dxa"/>
          </w:tcPr>
          <w:p w14:paraId="41F82A9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4320" w:type="dxa"/>
          </w:tcPr>
          <w:p w14:paraId="6886F59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2520" w:type="dxa"/>
          </w:tcPr>
          <w:p w14:paraId="1C87882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对应安全控制</w:t>
            </w:r>
          </w:p>
        </w:tc>
      </w:tr>
      <w:tr w:rsidR="00133DB4" w:rsidRPr="002A3C61" w14:paraId="254BCAF0" w14:textId="77777777">
        <w:tc>
          <w:tcPr>
            <w:tcW w:w="2520" w:type="dxa"/>
          </w:tcPr>
          <w:p w14:paraId="4A31C4F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S：身份欺骗</w:t>
            </w:r>
          </w:p>
        </w:tc>
        <w:tc>
          <w:tcPr>
            <w:tcW w:w="4320" w:type="dxa"/>
          </w:tcPr>
          <w:p w14:paraId="725E831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使用他人的身份验证信息访问系统。</w:t>
            </w:r>
          </w:p>
        </w:tc>
        <w:tc>
          <w:tcPr>
            <w:tcW w:w="2520" w:type="dxa"/>
          </w:tcPr>
          <w:p w14:paraId="2ED7BBC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认证</w:t>
            </w:r>
          </w:p>
        </w:tc>
      </w:tr>
      <w:tr w:rsidR="00133DB4" w:rsidRPr="002A3C61" w14:paraId="289160E0" w14:textId="77777777">
        <w:tc>
          <w:tcPr>
            <w:tcW w:w="2520" w:type="dxa"/>
          </w:tcPr>
          <w:p w14:paraId="67B5268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T：篡改数据</w:t>
            </w:r>
          </w:p>
        </w:tc>
        <w:tc>
          <w:tcPr>
            <w:tcW w:w="4320" w:type="dxa"/>
          </w:tcPr>
          <w:p w14:paraId="2B935AD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未授权修改存储或传输中的数据。</w:t>
            </w:r>
          </w:p>
        </w:tc>
        <w:tc>
          <w:tcPr>
            <w:tcW w:w="2520" w:type="dxa"/>
          </w:tcPr>
          <w:p w14:paraId="4F0FB4A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完整性</w:t>
            </w:r>
          </w:p>
        </w:tc>
      </w:tr>
      <w:tr w:rsidR="00133DB4" w:rsidRPr="002A3C61" w14:paraId="71D597B1" w14:textId="77777777">
        <w:tc>
          <w:tcPr>
            <w:tcW w:w="2520" w:type="dxa"/>
          </w:tcPr>
          <w:p w14:paraId="6C3E49C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R：抵赖</w:t>
            </w:r>
          </w:p>
        </w:tc>
        <w:tc>
          <w:tcPr>
            <w:tcW w:w="4320" w:type="dxa"/>
          </w:tcPr>
          <w:p w14:paraId="2CA1B11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用户否认执行过某操作，系统无法证明。</w:t>
            </w:r>
          </w:p>
        </w:tc>
        <w:tc>
          <w:tcPr>
            <w:tcW w:w="2520" w:type="dxa"/>
          </w:tcPr>
          <w:p w14:paraId="52145A3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不可抵赖</w:t>
            </w:r>
          </w:p>
        </w:tc>
      </w:tr>
      <w:tr w:rsidR="00133DB4" w:rsidRPr="002A3C61" w14:paraId="0345292E" w14:textId="77777777">
        <w:tc>
          <w:tcPr>
            <w:tcW w:w="2520" w:type="dxa"/>
          </w:tcPr>
          <w:p w14:paraId="2A29457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I：信息泄露</w:t>
            </w:r>
          </w:p>
        </w:tc>
        <w:tc>
          <w:tcPr>
            <w:tcW w:w="4320" w:type="dxa"/>
          </w:tcPr>
          <w:p w14:paraId="0C5B53F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信息被不应接触它的人读取或获取。</w:t>
            </w:r>
          </w:p>
        </w:tc>
        <w:tc>
          <w:tcPr>
            <w:tcW w:w="2520" w:type="dxa"/>
          </w:tcPr>
          <w:p w14:paraId="26B184E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保密性</w:t>
            </w:r>
          </w:p>
        </w:tc>
      </w:tr>
      <w:tr w:rsidR="00133DB4" w:rsidRPr="002A3C61" w14:paraId="538C9333" w14:textId="77777777">
        <w:tc>
          <w:tcPr>
            <w:tcW w:w="2520" w:type="dxa"/>
          </w:tcPr>
          <w:p w14:paraId="0F497C37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D：拒绝服务</w:t>
            </w:r>
          </w:p>
        </w:tc>
        <w:tc>
          <w:tcPr>
            <w:tcW w:w="4320" w:type="dxa"/>
          </w:tcPr>
          <w:p w14:paraId="112F0DC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使有效用户无法获得服务。</w:t>
            </w:r>
          </w:p>
        </w:tc>
        <w:tc>
          <w:tcPr>
            <w:tcW w:w="2520" w:type="dxa"/>
          </w:tcPr>
          <w:p w14:paraId="5530FDF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可用性</w:t>
            </w:r>
          </w:p>
        </w:tc>
      </w:tr>
      <w:tr w:rsidR="00133DB4" w:rsidRPr="002A3C61" w14:paraId="136FB6A0" w14:textId="77777777">
        <w:tc>
          <w:tcPr>
            <w:tcW w:w="2520" w:type="dxa"/>
          </w:tcPr>
          <w:p w14:paraId="52F7DF8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E：提升权限</w:t>
            </w:r>
          </w:p>
        </w:tc>
        <w:tc>
          <w:tcPr>
            <w:tcW w:w="4320" w:type="dxa"/>
          </w:tcPr>
          <w:p w14:paraId="0A46E2E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非特权用户获得足以破坏系统的权限。</w:t>
            </w:r>
          </w:p>
        </w:tc>
        <w:tc>
          <w:tcPr>
            <w:tcW w:w="2520" w:type="dxa"/>
          </w:tcPr>
          <w:p w14:paraId="5C7BC63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授权</w:t>
            </w:r>
          </w:p>
        </w:tc>
      </w:tr>
    </w:tbl>
    <w:p w14:paraId="6E07F253" w14:textId="517AFC64" w:rsidR="00133DB4" w:rsidRPr="002A3C61" w:rsidRDefault="00000000" w:rsidP="00B04293">
      <w:pPr>
        <w:spacing w:before="24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p w14:paraId="41E84261" w14:textId="77777777" w:rsidR="00133DB4" w:rsidRPr="002A3C61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2A3C61">
        <w:rPr>
          <w:rFonts w:asciiTheme="minorEastAsia" w:hAnsiTheme="minorEastAsia"/>
          <w:sz w:val="22"/>
          <w:szCs w:val="22"/>
        </w:rPr>
        <w:t>5.3 十二类云安全威胁及对策</w:t>
      </w:r>
    </w:p>
    <w:p w14:paraId="06475032" w14:textId="77777777" w:rsidR="00133DB4" w:rsidRPr="002A3C61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19"/>
        <w:gridCol w:w="2680"/>
        <w:gridCol w:w="3029"/>
      </w:tblGrid>
      <w:tr w:rsidR="00133DB4" w:rsidRPr="002A3C61" w14:paraId="0F7C846F" w14:textId="77777777">
        <w:trPr>
          <w:tblHeader/>
        </w:trPr>
        <w:tc>
          <w:tcPr>
            <w:tcW w:w="2143" w:type="dxa"/>
          </w:tcPr>
          <w:p w14:paraId="78DC302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威胁</w:t>
            </w:r>
          </w:p>
        </w:tc>
        <w:tc>
          <w:tcPr>
            <w:tcW w:w="3383" w:type="dxa"/>
          </w:tcPr>
          <w:p w14:paraId="3231406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关键风险</w:t>
            </w:r>
          </w:p>
        </w:tc>
        <w:tc>
          <w:tcPr>
            <w:tcW w:w="3834" w:type="dxa"/>
          </w:tcPr>
          <w:p w14:paraId="267FCA3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教材强调的对策</w:t>
            </w:r>
          </w:p>
        </w:tc>
      </w:tr>
      <w:tr w:rsidR="00133DB4" w:rsidRPr="002A3C61" w14:paraId="49650BAF" w14:textId="77777777">
        <w:tc>
          <w:tcPr>
            <w:tcW w:w="2143" w:type="dxa"/>
          </w:tcPr>
          <w:p w14:paraId="36F1468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数据泄露</w:t>
            </w:r>
          </w:p>
        </w:tc>
        <w:tc>
          <w:tcPr>
            <w:tcW w:w="3383" w:type="dxa"/>
          </w:tcPr>
          <w:p w14:paraId="612A94D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敏感数据被查看、窃取、删除或篡改；密钥丢失会放大后果。</w:t>
            </w:r>
          </w:p>
        </w:tc>
        <w:tc>
          <w:tcPr>
            <w:tcW w:w="3834" w:type="dxa"/>
          </w:tcPr>
          <w:p w14:paraId="399CA4A4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控制访问；保护静止、传输和使用中的数据；客户端加密并由客户端掌握密钥。</w:t>
            </w:r>
          </w:p>
        </w:tc>
      </w:tr>
      <w:tr w:rsidR="00133DB4" w:rsidRPr="002A3C61" w14:paraId="264FC59C" w14:textId="77777777">
        <w:tc>
          <w:tcPr>
            <w:tcW w:w="2143" w:type="dxa"/>
          </w:tcPr>
          <w:p w14:paraId="447E05D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弱身份、凭证和访问管理</w:t>
            </w:r>
          </w:p>
        </w:tc>
        <w:tc>
          <w:tcPr>
            <w:tcW w:w="3383" w:type="dxa"/>
          </w:tcPr>
          <w:p w14:paraId="31B253E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身份验证、授权或用户配置文件不足。</w:t>
            </w:r>
          </w:p>
        </w:tc>
        <w:tc>
          <w:tcPr>
            <w:tcW w:w="3834" w:type="dxa"/>
          </w:tcPr>
          <w:p w14:paraId="2149C67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建立可信 IAM、身份提供和可审计访问控制。</w:t>
            </w:r>
          </w:p>
        </w:tc>
      </w:tr>
      <w:tr w:rsidR="00133DB4" w:rsidRPr="002A3C61" w14:paraId="4CACEB05" w14:textId="77777777">
        <w:tc>
          <w:tcPr>
            <w:tcW w:w="2143" w:type="dxa"/>
          </w:tcPr>
          <w:p w14:paraId="5D5CA73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不安全的 API</w:t>
            </w:r>
          </w:p>
        </w:tc>
        <w:tc>
          <w:tcPr>
            <w:tcW w:w="3383" w:type="dxa"/>
          </w:tcPr>
          <w:p w14:paraId="4688F0D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API 被用于绕过认证、授权、加密或监控策略。</w:t>
            </w:r>
          </w:p>
        </w:tc>
        <w:tc>
          <w:tcPr>
            <w:tcW w:w="3834" w:type="dxa"/>
          </w:tcPr>
          <w:p w14:paraId="0E8CDAA7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分析 CSP API 安全模型，使用强认证、访问控制和加密传输，理解依赖链。</w:t>
            </w:r>
          </w:p>
        </w:tc>
      </w:tr>
      <w:tr w:rsidR="00133DB4" w:rsidRPr="002A3C61" w14:paraId="78375D5E" w14:textId="77777777">
        <w:tc>
          <w:tcPr>
            <w:tcW w:w="2143" w:type="dxa"/>
          </w:tcPr>
          <w:p w14:paraId="20C0FB0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系统漏洞</w:t>
            </w:r>
          </w:p>
        </w:tc>
        <w:tc>
          <w:tcPr>
            <w:tcW w:w="3383" w:type="dxa"/>
          </w:tcPr>
          <w:p w14:paraId="266C129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云基础设施操作系统和系统</w:t>
            </w:r>
            <w:r w:rsidRPr="002A3C61">
              <w:rPr>
                <w:rFonts w:asciiTheme="minorEastAsia" w:hAnsiTheme="minorEastAsia"/>
                <w:sz w:val="20"/>
                <w:szCs w:val="20"/>
              </w:rPr>
              <w:lastRenderedPageBreak/>
              <w:t>软件存在可利用缺陷。</w:t>
            </w:r>
          </w:p>
        </w:tc>
        <w:tc>
          <w:tcPr>
            <w:tcW w:w="3834" w:type="dxa"/>
          </w:tcPr>
          <w:p w14:paraId="1B110D4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lastRenderedPageBreak/>
              <w:t>风险管理、定期漏洞检测、补</w:t>
            </w:r>
            <w:r w:rsidRPr="002A3C61">
              <w:rPr>
                <w:rFonts w:asciiTheme="minorEastAsia" w:hAnsiTheme="minorEastAsia"/>
                <w:sz w:val="20"/>
                <w:szCs w:val="20"/>
              </w:rPr>
              <w:lastRenderedPageBreak/>
              <w:t>丁管理和人员培训。</w:t>
            </w:r>
          </w:p>
        </w:tc>
      </w:tr>
      <w:tr w:rsidR="00133DB4" w:rsidRPr="002A3C61" w14:paraId="22BF527D" w14:textId="77777777">
        <w:tc>
          <w:tcPr>
            <w:tcW w:w="2143" w:type="dxa"/>
          </w:tcPr>
          <w:p w14:paraId="7F05D3A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lastRenderedPageBreak/>
              <w:t>账号劫持</w:t>
            </w:r>
          </w:p>
        </w:tc>
        <w:tc>
          <w:tcPr>
            <w:tcW w:w="3383" w:type="dxa"/>
          </w:tcPr>
          <w:p w14:paraId="1D95E59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窃取凭证后破坏云服务的保密性、完整性和可用性。</w:t>
            </w:r>
          </w:p>
        </w:tc>
        <w:tc>
          <w:tcPr>
            <w:tcW w:w="3834" w:type="dxa"/>
          </w:tcPr>
          <w:p w14:paraId="1A96B58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禁止共享凭证，采用强双因素认证，主动监测并理解 CSP 策略和 SLA。</w:t>
            </w:r>
          </w:p>
        </w:tc>
      </w:tr>
      <w:tr w:rsidR="00133DB4" w:rsidRPr="002A3C61" w14:paraId="3245E8D9" w14:textId="77777777">
        <w:tc>
          <w:tcPr>
            <w:tcW w:w="2143" w:type="dxa"/>
          </w:tcPr>
          <w:p w14:paraId="20CC59B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恶意内部人员</w:t>
            </w:r>
          </w:p>
        </w:tc>
        <w:tc>
          <w:tcPr>
            <w:tcW w:w="3383" w:type="dxa"/>
          </w:tcPr>
          <w:p w14:paraId="5A9A357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CSP 管理员等高权限角色滥用信任。</w:t>
            </w:r>
          </w:p>
        </w:tc>
        <w:tc>
          <w:tcPr>
            <w:tcW w:w="3834" w:type="dxa"/>
          </w:tcPr>
          <w:p w14:paraId="6902FA3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供应链评估、合同约束、透明管理和漏洞报告流程。</w:t>
            </w:r>
          </w:p>
        </w:tc>
      </w:tr>
      <w:tr w:rsidR="00133DB4" w:rsidRPr="002A3C61" w14:paraId="4990C159" w14:textId="77777777">
        <w:tc>
          <w:tcPr>
            <w:tcW w:w="2143" w:type="dxa"/>
          </w:tcPr>
          <w:p w14:paraId="3F0290A4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高级持续威胁（APT）</w:t>
            </w:r>
          </w:p>
        </w:tc>
        <w:tc>
          <w:tcPr>
            <w:tcW w:w="3383" w:type="dxa"/>
          </w:tcPr>
          <w:p w14:paraId="6073CC2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攻击者长期隐蔽驻留，窃取高价值信息。</w:t>
            </w:r>
          </w:p>
        </w:tc>
        <w:tc>
          <w:tcPr>
            <w:tcW w:w="3834" w:type="dxa"/>
          </w:tcPr>
          <w:p w14:paraId="556CCA1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使用威胁情报发现目标、缩短检测时间并加快补救。</w:t>
            </w:r>
          </w:p>
        </w:tc>
      </w:tr>
      <w:tr w:rsidR="00133DB4" w:rsidRPr="002A3C61" w14:paraId="04965634" w14:textId="77777777">
        <w:tc>
          <w:tcPr>
            <w:tcW w:w="2143" w:type="dxa"/>
          </w:tcPr>
          <w:p w14:paraId="51563EA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数据丢失</w:t>
            </w:r>
          </w:p>
        </w:tc>
        <w:tc>
          <w:tcPr>
            <w:tcW w:w="3383" w:type="dxa"/>
          </w:tcPr>
          <w:p w14:paraId="74ADBBB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数据或备份被意外或恶意删除，造成永久丢失。</w:t>
            </w:r>
          </w:p>
        </w:tc>
        <w:tc>
          <w:tcPr>
            <w:tcW w:w="3834" w:type="dxa"/>
          </w:tcPr>
          <w:p w14:paraId="480861A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定期备份、地理冗余和提前备份。</w:t>
            </w:r>
          </w:p>
        </w:tc>
      </w:tr>
      <w:tr w:rsidR="00133DB4" w:rsidRPr="002A3C61" w14:paraId="6E94E24D" w14:textId="77777777">
        <w:tc>
          <w:tcPr>
            <w:tcW w:w="2143" w:type="dxa"/>
          </w:tcPr>
          <w:p w14:paraId="1675ADE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尽职调查不足</w:t>
            </w:r>
          </w:p>
        </w:tc>
        <w:tc>
          <w:tcPr>
            <w:tcW w:w="3383" w:type="dxa"/>
          </w:tcPr>
          <w:p w14:paraId="3B9D6CC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迁移前没有评估 CSP 基础设施、认证、保护和灾难能力。</w:t>
            </w:r>
          </w:p>
        </w:tc>
        <w:tc>
          <w:tcPr>
            <w:tcW w:w="3834" w:type="dxa"/>
          </w:tcPr>
          <w:p w14:paraId="216303C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核实设施、合规认证、CSP 自身尽调和完整数据保护控制。</w:t>
            </w:r>
          </w:p>
        </w:tc>
      </w:tr>
      <w:tr w:rsidR="00133DB4" w:rsidRPr="002A3C61" w14:paraId="097518E5" w14:textId="77777777">
        <w:tc>
          <w:tcPr>
            <w:tcW w:w="2143" w:type="dxa"/>
          </w:tcPr>
          <w:p w14:paraId="60BA8B3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滥用及恶意使用云服务</w:t>
            </w:r>
          </w:p>
        </w:tc>
        <w:tc>
          <w:tcPr>
            <w:tcW w:w="3383" w:type="dxa"/>
          </w:tcPr>
          <w:p w14:paraId="6F7BEF3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攻击者利用易注册的云资源发起垃圾邮件、恶意代码或 DoS。</w:t>
            </w:r>
          </w:p>
        </w:tc>
        <w:tc>
          <w:tcPr>
            <w:tcW w:w="3834" w:type="dxa"/>
          </w:tcPr>
          <w:p w14:paraId="0095AF5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强化注册验证、监控支付欺诈、分析流量和公共黑名单。</w:t>
            </w:r>
          </w:p>
        </w:tc>
      </w:tr>
      <w:tr w:rsidR="00133DB4" w:rsidRPr="002A3C61" w14:paraId="2CAD95C6" w14:textId="77777777">
        <w:tc>
          <w:tcPr>
            <w:tcW w:w="2143" w:type="dxa"/>
          </w:tcPr>
          <w:p w14:paraId="6C48ACB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拒绝服务</w:t>
            </w:r>
          </w:p>
        </w:tc>
        <w:tc>
          <w:tcPr>
            <w:tcW w:w="3383" w:type="dxa"/>
          </w:tcPr>
          <w:p w14:paraId="3B1684D7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CSP 的公共接口成为 DoS 目标，阻断 CSC 访问。</w:t>
            </w:r>
          </w:p>
        </w:tc>
        <w:tc>
          <w:tcPr>
            <w:tcW w:w="3834" w:type="dxa"/>
          </w:tcPr>
          <w:p w14:paraId="69F30FA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持续威胁情报和自动化保护核心云服务。</w:t>
            </w:r>
          </w:p>
        </w:tc>
      </w:tr>
      <w:tr w:rsidR="00133DB4" w:rsidRPr="002A3C61" w14:paraId="2C2027E2" w14:textId="77777777">
        <w:tc>
          <w:tcPr>
            <w:tcW w:w="2143" w:type="dxa"/>
          </w:tcPr>
          <w:p w14:paraId="1A57A7A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共享技术中的漏洞</w:t>
            </w:r>
          </w:p>
        </w:tc>
        <w:tc>
          <w:tcPr>
            <w:tcW w:w="3383" w:type="dxa"/>
          </w:tcPr>
          <w:p w14:paraId="2FC823B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多租户共享 CPU、GPU 等底层组件，隔离不足导致跨租户风险。</w:t>
            </w:r>
          </w:p>
        </w:tc>
        <w:tc>
          <w:tcPr>
            <w:tcW w:w="3834" w:type="dxa"/>
          </w:tcPr>
          <w:p w14:paraId="2C0DE53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安全配置、变更监控、强认证和访问控制、及时修补、漏洞扫描与审计。</w:t>
            </w:r>
          </w:p>
        </w:tc>
      </w:tr>
    </w:tbl>
    <w:p w14:paraId="62AB2842" w14:textId="5F355B50" w:rsidR="00133DB4" w:rsidRPr="002A3C61" w:rsidRDefault="00133DB4" w:rsidP="00B04293">
      <w:pPr>
        <w:spacing w:before="240"/>
        <w:rPr>
          <w:rFonts w:asciiTheme="minorEastAsia" w:hAnsiTheme="minorEastAsia"/>
          <w:sz w:val="20"/>
          <w:szCs w:val="20"/>
        </w:rPr>
      </w:pPr>
    </w:p>
    <w:p w14:paraId="2DD2F7AB" w14:textId="651997F3" w:rsidR="00B04293" w:rsidRPr="002A3C61" w:rsidRDefault="00000000" w:rsidP="00B04293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APT 的典型阶段是：背景研究、初始社会工程攻击、建立立足点、维持持久性、企业侦察、横向迁移、提升特权、收集并加密资料、提取数据和长期驻留。威胁情报可在通告前发现风险，也可在攻击发生后缩短发现和响应时间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8"/>
      </w:tblGrid>
      <w:tr w:rsidR="00B04293" w:rsidRPr="002A3C61" w14:paraId="2D05FDC0" w14:textId="77777777" w:rsidTr="00B04293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FB0CF1B" w14:textId="569C5AC2" w:rsidR="00B04293" w:rsidRPr="002A3C61" w:rsidRDefault="00B04293" w:rsidP="00B04293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3ACAFD73" wp14:editId="4711177E">
                  <wp:extent cx="3664915" cy="3429882"/>
                  <wp:effectExtent l="0" t="0" r="0" b="0"/>
                  <wp:docPr id="124254878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9263" cy="3443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FE2AA8" w14:textId="1F3A9CEF" w:rsidR="00133DB4" w:rsidRPr="002A3C61" w:rsidRDefault="00000000" w:rsidP="00B04293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2A3C61">
        <w:rPr>
          <w:rFonts w:asciiTheme="minorEastAsia" w:hAnsiTheme="minorEastAsia"/>
          <w:sz w:val="24"/>
          <w:szCs w:val="24"/>
        </w:rPr>
        <w:t>6. 学习目标 6：云安全即服务</w:t>
      </w:r>
    </w:p>
    <w:p w14:paraId="5E146E5D" w14:textId="5CFF7176" w:rsidR="00B04293" w:rsidRPr="002A3C61" w:rsidRDefault="00000000" w:rsidP="00B04293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安全即服务（</w:t>
      </w:r>
      <w:proofErr w:type="spellStart"/>
      <w:r w:rsidRPr="002A3C61">
        <w:rPr>
          <w:rFonts w:asciiTheme="minorEastAsia" w:hAnsiTheme="minorEastAsia"/>
          <w:sz w:val="20"/>
          <w:szCs w:val="20"/>
        </w:rPr>
        <w:t>SecaaS</w:t>
      </w:r>
      <w:proofErr w:type="spellEnd"/>
      <w:r w:rsidRPr="002A3C61">
        <w:rPr>
          <w:rFonts w:asciiTheme="minorEastAsia" w:hAnsiTheme="minorEastAsia"/>
          <w:sz w:val="20"/>
          <w:szCs w:val="20"/>
        </w:rPr>
        <w:t>）把一组安全责任交给服务提供者。在云环境中，</w:t>
      </w:r>
      <w:proofErr w:type="spellStart"/>
      <w:r w:rsidRPr="002A3C61">
        <w:rPr>
          <w:rFonts w:asciiTheme="minorEastAsia" w:hAnsiTheme="minorEastAsia"/>
          <w:sz w:val="20"/>
          <w:szCs w:val="20"/>
        </w:rPr>
        <w:t>SecaaS</w:t>
      </w:r>
      <w:proofErr w:type="spellEnd"/>
      <w:r w:rsidRPr="002A3C61">
        <w:rPr>
          <w:rFonts w:asciiTheme="minorEastAsia" w:hAnsiTheme="minorEastAsia"/>
          <w:sz w:val="20"/>
          <w:szCs w:val="20"/>
        </w:rPr>
        <w:t xml:space="preserve"> 通常是 CSP 的 SaaS 产品的一部分，可保护云基础设施、云软件或用户内部系统。</w:t>
      </w:r>
    </w:p>
    <w:p w14:paraId="2FDD3D1A" w14:textId="77777777" w:rsidR="00B04293" w:rsidRPr="002A3C61" w:rsidRDefault="00B04293">
      <w:pPr>
        <w:spacing w:after="120"/>
        <w:rPr>
          <w:rFonts w:asciiTheme="minorEastAsia" w:hAnsiTheme="minorEastAsia"/>
          <w:sz w:val="20"/>
          <w:szCs w:val="20"/>
        </w:rPr>
      </w:pPr>
    </w:p>
    <w:p w14:paraId="56D7C4C2" w14:textId="59A6F14E" w:rsidR="00133DB4" w:rsidRPr="002A3C61" w:rsidRDefault="00000000" w:rsidP="00B04293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云安全联盟列出的 </w:t>
      </w:r>
      <w:proofErr w:type="spellStart"/>
      <w:r w:rsidRPr="002A3C61">
        <w:rPr>
          <w:rFonts w:asciiTheme="minorEastAsia" w:hAnsiTheme="minorEastAsia"/>
          <w:sz w:val="20"/>
          <w:szCs w:val="20"/>
        </w:rPr>
        <w:t>SecaaS</w:t>
      </w:r>
      <w:proofErr w:type="spellEnd"/>
      <w:r w:rsidRPr="002A3C61">
        <w:rPr>
          <w:rFonts w:asciiTheme="minorEastAsia" w:hAnsiTheme="minorEastAsia"/>
          <w:sz w:val="20"/>
          <w:szCs w:val="20"/>
        </w:rPr>
        <w:t xml:space="preserve"> 类别包括：</w:t>
      </w:r>
    </w:p>
    <w:p w14:paraId="2EA42530" w14:textId="6A4F5E61" w:rsidR="00133DB4" w:rsidRPr="002A3C61" w:rsidRDefault="00000000" w:rsidP="00B04293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身份和访问管理；</w:t>
      </w:r>
    </w:p>
    <w:p w14:paraId="6A336CB0" w14:textId="57F65B59" w:rsidR="00133DB4" w:rsidRPr="002A3C61" w:rsidRDefault="00000000" w:rsidP="00B04293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数据丢失防护；</w:t>
      </w:r>
    </w:p>
    <w:p w14:paraId="51DD9C5D" w14:textId="1C73E9E3" w:rsidR="00133DB4" w:rsidRPr="002A3C61" w:rsidRDefault="00000000" w:rsidP="00B04293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Web 安全；</w:t>
      </w:r>
    </w:p>
    <w:p w14:paraId="3DC4825D" w14:textId="120123E7" w:rsidR="00133DB4" w:rsidRPr="002A3C61" w:rsidRDefault="00000000" w:rsidP="00B04293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电子邮件安全；</w:t>
      </w:r>
    </w:p>
    <w:p w14:paraId="36C9F6D0" w14:textId="58C3E832" w:rsidR="00133DB4" w:rsidRPr="002A3C61" w:rsidRDefault="00000000" w:rsidP="00B04293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安全评估；</w:t>
      </w:r>
    </w:p>
    <w:p w14:paraId="7D0E58E8" w14:textId="2B72C492" w:rsidR="00133DB4" w:rsidRPr="002A3C61" w:rsidRDefault="00000000" w:rsidP="00B04293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入侵管理；</w:t>
      </w:r>
    </w:p>
    <w:p w14:paraId="2A75CA32" w14:textId="3CB5DEE8" w:rsidR="00133DB4" w:rsidRPr="002A3C61" w:rsidRDefault="00000000" w:rsidP="00B04293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安全信息和事件管理；</w:t>
      </w:r>
    </w:p>
    <w:p w14:paraId="03DABB35" w14:textId="75636A7F" w:rsidR="00133DB4" w:rsidRPr="002A3C61" w:rsidRDefault="00000000" w:rsidP="00B04293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加密；</w:t>
      </w:r>
    </w:p>
    <w:p w14:paraId="794C87F6" w14:textId="07556ED0" w:rsidR="00133DB4" w:rsidRPr="002A3C61" w:rsidRDefault="00000000" w:rsidP="00B04293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业务连续性和灾难恢复；</w:t>
      </w:r>
    </w:p>
    <w:p w14:paraId="0808F2EA" w14:textId="21648B14" w:rsidR="00133DB4" w:rsidRPr="002A3C61" w:rsidRDefault="00000000" w:rsidP="00B04293">
      <w:pPr>
        <w:pStyle w:val="a4"/>
        <w:numPr>
          <w:ilvl w:val="0"/>
          <w:numId w:val="4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网络安全。</w:t>
      </w:r>
    </w:p>
    <w:p w14:paraId="7F9CBC70" w14:textId="2F1AC538" w:rsidR="00D54EDD" w:rsidRPr="002A3C61" w:rsidRDefault="00D54EDD" w:rsidP="00D54EDD">
      <w:pPr>
        <w:spacing w:after="200"/>
        <w:jc w:val="center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noProof/>
        </w:rPr>
        <w:lastRenderedPageBreak/>
        <w:drawing>
          <wp:inline distT="0" distB="0" distL="0" distR="0" wp14:anchorId="3AF6115E" wp14:editId="2FA0109F">
            <wp:extent cx="3172949" cy="3503981"/>
            <wp:effectExtent l="0" t="0" r="8890" b="1270"/>
            <wp:docPr id="17874771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974" cy="354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A8F0" w14:textId="6DB14317" w:rsidR="00133DB4" w:rsidRPr="002A3C61" w:rsidRDefault="00133DB4">
      <w:pPr>
        <w:spacing w:after="200"/>
        <w:rPr>
          <w:rFonts w:asciiTheme="minorEastAsia" w:hAnsiTheme="minorEastAsia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67"/>
        <w:gridCol w:w="5061"/>
      </w:tblGrid>
      <w:tr w:rsidR="00133DB4" w:rsidRPr="002A3C61" w14:paraId="666D5504" w14:textId="77777777">
        <w:trPr>
          <w:tblHeader/>
        </w:trPr>
        <w:tc>
          <w:tcPr>
            <w:tcW w:w="2956" w:type="dxa"/>
          </w:tcPr>
          <w:p w14:paraId="096CE64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服务</w:t>
            </w:r>
          </w:p>
        </w:tc>
        <w:tc>
          <w:tcPr>
            <w:tcW w:w="6404" w:type="dxa"/>
          </w:tcPr>
          <w:p w14:paraId="31CB7C5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作用</w:t>
            </w:r>
          </w:p>
        </w:tc>
      </w:tr>
      <w:tr w:rsidR="00133DB4" w:rsidRPr="002A3C61" w14:paraId="5EF846EC" w14:textId="77777777">
        <w:tc>
          <w:tcPr>
            <w:tcW w:w="2956" w:type="dxa"/>
          </w:tcPr>
          <w:p w14:paraId="0B6364A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IAM</w:t>
            </w:r>
          </w:p>
        </w:tc>
        <w:tc>
          <w:tcPr>
            <w:tcW w:w="6404" w:type="dxa"/>
          </w:tcPr>
          <w:p w14:paraId="7F1836B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管理身份验证、授权和访问权限。</w:t>
            </w:r>
          </w:p>
        </w:tc>
      </w:tr>
      <w:tr w:rsidR="00133DB4" w:rsidRPr="002A3C61" w14:paraId="458D7615" w14:textId="77777777">
        <w:tc>
          <w:tcPr>
            <w:tcW w:w="2956" w:type="dxa"/>
          </w:tcPr>
          <w:p w14:paraId="75C5C557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DLP</w:t>
            </w:r>
          </w:p>
        </w:tc>
        <w:tc>
          <w:tcPr>
            <w:tcW w:w="6404" w:type="dxa"/>
          </w:tcPr>
          <w:p w14:paraId="3F30933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监视、保护和验证静止、传输及使用中的数据。</w:t>
            </w:r>
          </w:p>
        </w:tc>
      </w:tr>
      <w:tr w:rsidR="00133DB4" w:rsidRPr="002A3C61" w14:paraId="57CFA2D4" w14:textId="77777777">
        <w:tc>
          <w:tcPr>
            <w:tcW w:w="2956" w:type="dxa"/>
          </w:tcPr>
          <w:p w14:paraId="5EF7E52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Web 安全</w:t>
            </w:r>
          </w:p>
        </w:tc>
        <w:tc>
          <w:tcPr>
            <w:tcW w:w="6404" w:type="dxa"/>
          </w:tcPr>
          <w:p w14:paraId="672028F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通过代理、设备或流量重定向实时阻止恶意软件，并可提供策略执行、备份、流量控制和 Web 访问控制。</w:t>
            </w:r>
          </w:p>
        </w:tc>
      </w:tr>
      <w:tr w:rsidR="00133DB4" w:rsidRPr="002A3C61" w14:paraId="702D0876" w14:textId="77777777">
        <w:tc>
          <w:tcPr>
            <w:tcW w:w="2956" w:type="dxa"/>
          </w:tcPr>
          <w:p w14:paraId="53A693D4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电子邮件安全</w:t>
            </w:r>
          </w:p>
        </w:tc>
        <w:tc>
          <w:tcPr>
            <w:tcW w:w="6404" w:type="dxa"/>
          </w:tcPr>
          <w:p w14:paraId="38820CA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控制入站和出站邮件，防御钓鱼和恶意附件，可统一实施签名和加密。</w:t>
            </w:r>
          </w:p>
        </w:tc>
      </w:tr>
      <w:tr w:rsidR="00133DB4" w:rsidRPr="002A3C61" w14:paraId="1EE2C212" w14:textId="77777777">
        <w:tc>
          <w:tcPr>
            <w:tcW w:w="2956" w:type="dxa"/>
          </w:tcPr>
          <w:p w14:paraId="0AAA78E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安全评估</w:t>
            </w:r>
          </w:p>
        </w:tc>
        <w:tc>
          <w:tcPr>
            <w:tcW w:w="6404" w:type="dxa"/>
          </w:tcPr>
          <w:p w14:paraId="48EBF354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由第三方审计云服务，CSP 可提供评估工具和接入点。</w:t>
            </w:r>
          </w:p>
        </w:tc>
      </w:tr>
      <w:tr w:rsidR="00133DB4" w:rsidRPr="002A3C61" w14:paraId="4B7BB55F" w14:textId="77777777">
        <w:tc>
          <w:tcPr>
            <w:tcW w:w="2956" w:type="dxa"/>
          </w:tcPr>
          <w:p w14:paraId="7C3BFD3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入侵管理</w:t>
            </w:r>
          </w:p>
        </w:tc>
        <w:tc>
          <w:tcPr>
            <w:tcW w:w="6404" w:type="dxa"/>
          </w:tcPr>
          <w:p w14:paraId="246ED8B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提供 IDS、IPS 及入侵响应；IPS 在 IDS 检测基础上增加阻断机制。</w:t>
            </w:r>
          </w:p>
        </w:tc>
      </w:tr>
      <w:tr w:rsidR="00133DB4" w:rsidRPr="002A3C61" w14:paraId="6BCF3638" w14:textId="77777777">
        <w:tc>
          <w:tcPr>
            <w:tcW w:w="2956" w:type="dxa"/>
          </w:tcPr>
          <w:p w14:paraId="63E9EAC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SIEM</w:t>
            </w:r>
          </w:p>
        </w:tc>
        <w:tc>
          <w:tcPr>
            <w:tcW w:w="6404" w:type="dxa"/>
          </w:tcPr>
          <w:p w14:paraId="1FDFE7E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聚合、关联和分析虚拟及真实网络、应用和系统的日志事件，产生实时报告和告警。</w:t>
            </w:r>
          </w:p>
        </w:tc>
      </w:tr>
      <w:tr w:rsidR="00133DB4" w:rsidRPr="002A3C61" w14:paraId="0FA2FBF8" w14:textId="77777777">
        <w:tc>
          <w:tcPr>
            <w:tcW w:w="2956" w:type="dxa"/>
          </w:tcPr>
          <w:p w14:paraId="075FE4E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加密</w:t>
            </w:r>
          </w:p>
        </w:tc>
        <w:tc>
          <w:tcPr>
            <w:tcW w:w="6404" w:type="dxa"/>
          </w:tcPr>
          <w:p w14:paraId="04DC39D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保护云数据、邮件流量、网络管理信息和身份信息，同时涉及密钥管理和 VPN。</w:t>
            </w:r>
          </w:p>
        </w:tc>
      </w:tr>
      <w:tr w:rsidR="00133DB4" w:rsidRPr="002A3C61" w14:paraId="02B67909" w14:textId="77777777">
        <w:tc>
          <w:tcPr>
            <w:tcW w:w="2956" w:type="dxa"/>
          </w:tcPr>
          <w:p w14:paraId="7AA901E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lastRenderedPageBreak/>
              <w:t>业务连续性与灾难恢复</w:t>
            </w:r>
          </w:p>
        </w:tc>
        <w:tc>
          <w:tcPr>
            <w:tcW w:w="6404" w:type="dxa"/>
          </w:tcPr>
          <w:p w14:paraId="40BBE11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通过冗余、故障转移、地理分布数据中心和备份保持服务弹性。</w:t>
            </w:r>
          </w:p>
        </w:tc>
      </w:tr>
      <w:tr w:rsidR="00133DB4" w:rsidRPr="002A3C61" w14:paraId="059ACA76" w14:textId="77777777">
        <w:tc>
          <w:tcPr>
            <w:tcW w:w="2956" w:type="dxa"/>
          </w:tcPr>
          <w:p w14:paraId="2D4E0DA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网络安全</w:t>
            </w:r>
          </w:p>
        </w:tc>
        <w:tc>
          <w:tcPr>
            <w:tcW w:w="6404" w:type="dxa"/>
          </w:tcPr>
          <w:p w14:paraId="266ED98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提供边界防火墙、服务器防火墙和 DoS 防护等底层资源保护。</w:t>
            </w:r>
          </w:p>
        </w:tc>
      </w:tr>
    </w:tbl>
    <w:p w14:paraId="5B6E54BC" w14:textId="4CCADE0F" w:rsidR="00133DB4" w:rsidRPr="002A3C61" w:rsidRDefault="00000000" w:rsidP="00D54EDD">
      <w:pPr>
        <w:spacing w:before="24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p w14:paraId="32B59334" w14:textId="77777777" w:rsidR="00133DB4" w:rsidRPr="002A3C61" w:rsidRDefault="00000000">
      <w:pPr>
        <w:spacing w:after="120"/>
        <w:rPr>
          <w:rFonts w:asciiTheme="minorEastAsia" w:hAnsiTheme="minorEastAsia"/>
          <w:sz w:val="20"/>
          <w:szCs w:val="20"/>
        </w:rPr>
      </w:pPr>
      <w:proofErr w:type="spellStart"/>
      <w:r w:rsidRPr="002A3C61">
        <w:rPr>
          <w:rFonts w:asciiTheme="minorEastAsia" w:hAnsiTheme="minorEastAsia"/>
          <w:sz w:val="20"/>
          <w:szCs w:val="20"/>
        </w:rPr>
        <w:t>SecaaS</w:t>
      </w:r>
      <w:proofErr w:type="spellEnd"/>
      <w:r w:rsidRPr="002A3C61">
        <w:rPr>
          <w:rFonts w:asciiTheme="minorEastAsia" w:hAnsiTheme="minorEastAsia"/>
          <w:sz w:val="20"/>
          <w:szCs w:val="20"/>
        </w:rPr>
        <w:t xml:space="preserve"> 的价值在于利用服务提供者的规模和专业能力，但企业仍需确认数据控制、密钥管理、审计、SLA 和责任边界。</w:t>
      </w:r>
    </w:p>
    <w:p w14:paraId="7ADD02BC" w14:textId="77777777" w:rsidR="00133DB4" w:rsidRPr="002A3C61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p w14:paraId="358F2EF8" w14:textId="6B2C4632" w:rsidR="00133DB4" w:rsidRPr="002A3C61" w:rsidRDefault="00000000" w:rsidP="00D15859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2A3C61">
        <w:rPr>
          <w:rFonts w:asciiTheme="minorEastAsia" w:hAnsiTheme="minorEastAsia"/>
          <w:sz w:val="24"/>
          <w:szCs w:val="24"/>
        </w:rPr>
        <w:t>7. 学习目标 7：OpenStack 的 Keystone 安全模块</w:t>
      </w:r>
    </w:p>
    <w:p w14:paraId="5109B5A9" w14:textId="77777777" w:rsidR="00133DB4" w:rsidRPr="002A3C61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OpenStack 是支持多租户 IaaS 的开源云操作系统项目，由多个可独立使用又可组合的模块构成。其安全模块 Keystone 提供云基础设施共享的身份和访问控制服务。</w:t>
      </w:r>
    </w:p>
    <w:p w14:paraId="7C8AFEDD" w14:textId="77777777" w:rsidR="00133DB4" w:rsidRPr="002A3C61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p w14:paraId="3C9FB9B6" w14:textId="09224163" w:rsidR="00133DB4" w:rsidRPr="002A3C61" w:rsidRDefault="00000000" w:rsidP="00D15859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2A3C61">
        <w:rPr>
          <w:rFonts w:asciiTheme="minorEastAsia" w:hAnsiTheme="minorEastAsia"/>
          <w:sz w:val="22"/>
          <w:szCs w:val="22"/>
        </w:rPr>
        <w:t>7.1 Keystone 的四类共享服务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45"/>
        <w:gridCol w:w="5683"/>
      </w:tblGrid>
      <w:tr w:rsidR="00133DB4" w:rsidRPr="002A3C61" w14:paraId="10AB01AD" w14:textId="77777777">
        <w:trPr>
          <w:tblHeader/>
        </w:trPr>
        <w:tc>
          <w:tcPr>
            <w:tcW w:w="2160" w:type="dxa"/>
          </w:tcPr>
          <w:p w14:paraId="56A44FD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服务</w:t>
            </w:r>
          </w:p>
        </w:tc>
        <w:tc>
          <w:tcPr>
            <w:tcW w:w="7200" w:type="dxa"/>
          </w:tcPr>
          <w:p w14:paraId="78989577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作用</w:t>
            </w:r>
          </w:p>
        </w:tc>
      </w:tr>
      <w:tr w:rsidR="00133DB4" w:rsidRPr="002A3C61" w14:paraId="68852C12" w14:textId="77777777">
        <w:tc>
          <w:tcPr>
            <w:tcW w:w="2160" w:type="dxa"/>
          </w:tcPr>
          <w:p w14:paraId="0B6BFEA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身份</w:t>
            </w:r>
          </w:p>
        </w:tc>
        <w:tc>
          <w:tcPr>
            <w:tcW w:w="7200" w:type="dxa"/>
          </w:tcPr>
          <w:p w14:paraId="4915E87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保存用户身份信息，定义项目中的角色和权限，是 RBAC 的基础；支持用户名/口令、LDAP 和外部身份验证。</w:t>
            </w:r>
          </w:p>
        </w:tc>
      </w:tr>
      <w:tr w:rsidR="00133DB4" w:rsidRPr="002A3C61" w14:paraId="16F9232A" w14:textId="77777777">
        <w:tc>
          <w:tcPr>
            <w:tcW w:w="2160" w:type="dxa"/>
          </w:tcPr>
          <w:p w14:paraId="57F8A9D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令牌</w:t>
            </w:r>
          </w:p>
        </w:tc>
        <w:tc>
          <w:tcPr>
            <w:tcW w:w="7200" w:type="dxa"/>
          </w:tcPr>
          <w:p w14:paraId="7999A91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用户认证后获得令牌，其他 OpenStack 服务在操作期间用令牌向 Keystone 查询访问权限。</w:t>
            </w:r>
          </w:p>
        </w:tc>
      </w:tr>
      <w:tr w:rsidR="00133DB4" w:rsidRPr="002A3C61" w14:paraId="10164623" w14:textId="77777777">
        <w:tc>
          <w:tcPr>
            <w:tcW w:w="2160" w:type="dxa"/>
          </w:tcPr>
          <w:p w14:paraId="6EC6B82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服务目录</w:t>
            </w:r>
          </w:p>
        </w:tc>
        <w:tc>
          <w:tcPr>
            <w:tcW w:w="7200" w:type="dxa"/>
          </w:tcPr>
          <w:p w14:paraId="5892BAD4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注册 OpenStack 服务端点；客户端根据 Keystone 返回的目录确定要调用的端点。</w:t>
            </w:r>
          </w:p>
        </w:tc>
      </w:tr>
      <w:tr w:rsidR="00133DB4" w:rsidRPr="002A3C61" w14:paraId="2DF14177" w14:textId="77777777">
        <w:tc>
          <w:tcPr>
            <w:tcW w:w="2160" w:type="dxa"/>
          </w:tcPr>
          <w:p w14:paraId="418D6E8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策略</w:t>
            </w:r>
          </w:p>
        </w:tc>
        <w:tc>
          <w:tcPr>
            <w:tcW w:w="7200" w:type="dxa"/>
          </w:tcPr>
          <w:p w14:paraId="69D510C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在各服务的策略文件中定义资源访问级别，管理员可修改策略以控制 API、卷容量或实例启动等权限。</w:t>
            </w:r>
          </w:p>
        </w:tc>
      </w:tr>
    </w:tbl>
    <w:p w14:paraId="2F143D2E" w14:textId="31189984" w:rsidR="00133DB4" w:rsidRPr="002A3C61" w:rsidRDefault="00133DB4" w:rsidP="00D15859">
      <w:pPr>
        <w:spacing w:before="240"/>
        <w:rPr>
          <w:rFonts w:asciiTheme="minorEastAsia" w:hAnsiTheme="minorEastAsia"/>
          <w:sz w:val="20"/>
          <w:szCs w:val="20"/>
        </w:rPr>
      </w:pPr>
    </w:p>
    <w:p w14:paraId="27F1F549" w14:textId="3BAACA86" w:rsidR="00D15859" w:rsidRPr="002A3C61" w:rsidRDefault="00000000" w:rsidP="00D15859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2A3C61">
        <w:rPr>
          <w:rFonts w:asciiTheme="minorEastAsia" w:hAnsiTheme="minorEastAsia"/>
          <w:sz w:val="22"/>
          <w:szCs w:val="22"/>
        </w:rPr>
        <w:t>7.2 Keystone 与 Nova、Glance、Swift 的交互</w:t>
      </w:r>
    </w:p>
    <w:p w14:paraId="526E98E7" w14:textId="77777777" w:rsidR="00133DB4" w:rsidRPr="002A3C61" w:rsidRDefault="00000000" w:rsidP="00D15859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b/>
          <w:bCs/>
          <w:sz w:val="20"/>
          <w:szCs w:val="20"/>
        </w:rPr>
        <w:t>Nova</w:t>
      </w:r>
      <w:r w:rsidRPr="002A3C61">
        <w:rPr>
          <w:rFonts w:asciiTheme="minorEastAsia" w:hAnsiTheme="minorEastAsia"/>
          <w:sz w:val="20"/>
          <w:szCs w:val="20"/>
        </w:rPr>
        <w:t>：管理计算实例生命周期，负责按需生成、调度和报废虚拟机。</w:t>
      </w:r>
    </w:p>
    <w:p w14:paraId="77ECA8DC" w14:textId="77777777" w:rsidR="00133DB4" w:rsidRPr="002A3C61" w:rsidRDefault="00000000" w:rsidP="00D15859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b/>
          <w:bCs/>
          <w:sz w:val="20"/>
          <w:szCs w:val="20"/>
        </w:rPr>
        <w:t>Glance</w:t>
      </w:r>
      <w:r w:rsidRPr="002A3C61">
        <w:rPr>
          <w:rFonts w:asciiTheme="minorEastAsia" w:hAnsiTheme="minorEastAsia"/>
          <w:sz w:val="20"/>
          <w:szCs w:val="20"/>
        </w:rPr>
        <w:t>：通过 API 对虚拟机磁盘映像进行发现、注册和检索。</w:t>
      </w:r>
    </w:p>
    <w:p w14:paraId="4D17030C" w14:textId="77777777" w:rsidR="00133DB4" w:rsidRPr="002A3C61" w:rsidRDefault="00000000" w:rsidP="00D15859">
      <w:pPr>
        <w:pStyle w:val="a4"/>
        <w:numPr>
          <w:ilvl w:val="0"/>
          <w:numId w:val="6"/>
        </w:numPr>
        <w:spacing w:after="1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b/>
          <w:bCs/>
          <w:sz w:val="20"/>
          <w:szCs w:val="20"/>
        </w:rPr>
        <w:t>Swift</w:t>
      </w:r>
      <w:r w:rsidRPr="002A3C61">
        <w:rPr>
          <w:rFonts w:asciiTheme="minorEastAsia" w:hAnsiTheme="minorEastAsia"/>
          <w:sz w:val="20"/>
          <w:szCs w:val="20"/>
        </w:rPr>
        <w:t>：提供冗余、可扩展的分布式对象存储，适合保存虚拟机映像、照片、邮件、备份和存档等静态数据。</w:t>
      </w:r>
    </w:p>
    <w:p w14:paraId="06DCB868" w14:textId="77777777" w:rsidR="00133DB4" w:rsidRPr="002A3C61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p w14:paraId="0A470B9E" w14:textId="34D3B45D" w:rsidR="00FF2424" w:rsidRPr="002A3C61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lastRenderedPageBreak/>
        <w:t>典型启动流程是：客户端请求启动 VM，Nova 与 Keystone 发现服务并检查凭证；Nova 调度 VM，必要时向 Glance 请求映像；映像位置和中间数据返回后，Nova 向 Swift 请求并取得映像，最后启动 VM。Keystone 在各服务之间持续提供认证、令牌和端点发现。</w:t>
      </w:r>
    </w:p>
    <w:p w14:paraId="474647EA" w14:textId="569A3724" w:rsidR="00133DB4" w:rsidRPr="002A3C61" w:rsidRDefault="00FF2424" w:rsidP="00917972">
      <w:pPr>
        <w:spacing w:after="200"/>
        <w:jc w:val="center"/>
        <w:rPr>
          <w:rFonts w:asciiTheme="minorEastAsia" w:hAnsiTheme="minorEastAsia" w:hint="eastAsia"/>
          <w:sz w:val="20"/>
          <w:szCs w:val="20"/>
        </w:rPr>
      </w:pPr>
      <w:r w:rsidRPr="002A3C61">
        <w:rPr>
          <w:rFonts w:asciiTheme="minorEastAsia" w:hAnsiTheme="minorEastAsia"/>
          <w:noProof/>
        </w:rPr>
        <w:drawing>
          <wp:inline distT="0" distB="0" distL="0" distR="0" wp14:anchorId="1BD5CA95" wp14:editId="4C359F88">
            <wp:extent cx="4162349" cy="3378342"/>
            <wp:effectExtent l="0" t="0" r="0" b="0"/>
            <wp:docPr id="2271422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165" cy="338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72B7" w14:textId="6AD2D7FD" w:rsidR="00133DB4" w:rsidRPr="002A3C61" w:rsidRDefault="00000000" w:rsidP="00F55208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2A3C61">
        <w:rPr>
          <w:rFonts w:asciiTheme="minorEastAsia" w:hAnsiTheme="minorEastAsia"/>
          <w:sz w:val="24"/>
          <w:szCs w:val="24"/>
        </w:rPr>
        <w:t>本章关键术语整理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52"/>
        <w:gridCol w:w="5376"/>
      </w:tblGrid>
      <w:tr w:rsidR="00133DB4" w:rsidRPr="002A3C61" w14:paraId="77499E66" w14:textId="77777777">
        <w:trPr>
          <w:tblHeader/>
        </w:trPr>
        <w:tc>
          <w:tcPr>
            <w:tcW w:w="2553" w:type="dxa"/>
          </w:tcPr>
          <w:p w14:paraId="44C1D74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6807" w:type="dxa"/>
          </w:tcPr>
          <w:p w14:paraId="5B6CC83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b/>
                <w:bCs/>
                <w:sz w:val="20"/>
                <w:szCs w:val="20"/>
              </w:rPr>
              <w:t>核心含义</w:t>
            </w:r>
          </w:p>
        </w:tc>
      </w:tr>
      <w:tr w:rsidR="00133DB4" w:rsidRPr="002A3C61" w14:paraId="7B9C5044" w14:textId="77777777">
        <w:tc>
          <w:tcPr>
            <w:tcW w:w="2553" w:type="dxa"/>
          </w:tcPr>
          <w:p w14:paraId="5E4EA6A4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云计算</w:t>
            </w:r>
          </w:p>
        </w:tc>
        <w:tc>
          <w:tcPr>
            <w:tcW w:w="6807" w:type="dxa"/>
          </w:tcPr>
          <w:p w14:paraId="0A5BB78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通过网络按需访问共享可配置计算资源池的模型。</w:t>
            </w:r>
          </w:p>
        </w:tc>
      </w:tr>
      <w:tr w:rsidR="00133DB4" w:rsidRPr="002A3C61" w14:paraId="4FD77EBC" w14:textId="77777777">
        <w:tc>
          <w:tcPr>
            <w:tcW w:w="2553" w:type="dxa"/>
          </w:tcPr>
          <w:p w14:paraId="36C0309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资源池化</w:t>
            </w:r>
          </w:p>
        </w:tc>
        <w:tc>
          <w:tcPr>
            <w:tcW w:w="6807" w:type="dxa"/>
          </w:tcPr>
          <w:p w14:paraId="0614323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提供商汇集物理和虚拟资源并按多租户需求动态分配。</w:t>
            </w:r>
          </w:p>
        </w:tc>
      </w:tr>
      <w:tr w:rsidR="00133DB4" w:rsidRPr="002A3C61" w14:paraId="223E498E" w14:textId="77777777">
        <w:tc>
          <w:tcPr>
            <w:tcW w:w="2553" w:type="dxa"/>
          </w:tcPr>
          <w:p w14:paraId="1925DDD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SaaS</w:t>
            </w:r>
          </w:p>
        </w:tc>
        <w:tc>
          <w:tcPr>
            <w:tcW w:w="6807" w:type="dxa"/>
          </w:tcPr>
          <w:p w14:paraId="5CBB8DD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直接使用云中运行和维护的应用软件。</w:t>
            </w:r>
          </w:p>
        </w:tc>
      </w:tr>
      <w:tr w:rsidR="00133DB4" w:rsidRPr="002A3C61" w14:paraId="48535354" w14:textId="77777777">
        <w:tc>
          <w:tcPr>
            <w:tcW w:w="2553" w:type="dxa"/>
          </w:tcPr>
          <w:p w14:paraId="4A98802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PaaS</w:t>
            </w:r>
          </w:p>
        </w:tc>
        <w:tc>
          <w:tcPr>
            <w:tcW w:w="6807" w:type="dxa"/>
          </w:tcPr>
          <w:p w14:paraId="5778975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在云平台提供的运行环境和工具上开发、部署应用。</w:t>
            </w:r>
          </w:p>
        </w:tc>
      </w:tr>
      <w:tr w:rsidR="00133DB4" w:rsidRPr="002A3C61" w14:paraId="4DDC86B9" w14:textId="77777777">
        <w:tc>
          <w:tcPr>
            <w:tcW w:w="2553" w:type="dxa"/>
          </w:tcPr>
          <w:p w14:paraId="3FB08C1E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IaaS</w:t>
            </w:r>
          </w:p>
        </w:tc>
        <w:tc>
          <w:tcPr>
            <w:tcW w:w="6807" w:type="dxa"/>
          </w:tcPr>
          <w:p w14:paraId="72FC232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使用虚拟机、存储、网络等基础资源部署任意软件。</w:t>
            </w:r>
          </w:p>
        </w:tc>
      </w:tr>
      <w:tr w:rsidR="00133DB4" w:rsidRPr="002A3C61" w14:paraId="00341E2E" w14:textId="77777777">
        <w:tc>
          <w:tcPr>
            <w:tcW w:w="2553" w:type="dxa"/>
          </w:tcPr>
          <w:p w14:paraId="20294A0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公有云</w:t>
            </w:r>
          </w:p>
        </w:tc>
        <w:tc>
          <w:tcPr>
            <w:tcW w:w="6807" w:type="dxa"/>
          </w:tcPr>
          <w:p w14:paraId="6B0A2B8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面向公众、由提供商运营的多租户云。</w:t>
            </w:r>
          </w:p>
        </w:tc>
      </w:tr>
      <w:tr w:rsidR="00133DB4" w:rsidRPr="002A3C61" w14:paraId="0FAFD22B" w14:textId="77777777">
        <w:tc>
          <w:tcPr>
            <w:tcW w:w="2553" w:type="dxa"/>
          </w:tcPr>
          <w:p w14:paraId="6A76793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私有云</w:t>
            </w:r>
          </w:p>
        </w:tc>
        <w:tc>
          <w:tcPr>
            <w:tcW w:w="6807" w:type="dxa"/>
          </w:tcPr>
          <w:p w14:paraId="5E1611A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为单个企业使用的内部或专用托管云。</w:t>
            </w:r>
          </w:p>
        </w:tc>
      </w:tr>
      <w:tr w:rsidR="00133DB4" w:rsidRPr="002A3C61" w14:paraId="3538EE8D" w14:textId="77777777">
        <w:tc>
          <w:tcPr>
            <w:tcW w:w="2553" w:type="dxa"/>
          </w:tcPr>
          <w:p w14:paraId="671E6C53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社区云</w:t>
            </w:r>
          </w:p>
        </w:tc>
        <w:tc>
          <w:tcPr>
            <w:tcW w:w="6807" w:type="dxa"/>
          </w:tcPr>
          <w:p w14:paraId="152E888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由具有共同需求的多个机构共享的受限云。</w:t>
            </w:r>
          </w:p>
        </w:tc>
      </w:tr>
      <w:tr w:rsidR="00133DB4" w:rsidRPr="002A3C61" w14:paraId="13557F9D" w14:textId="77777777">
        <w:tc>
          <w:tcPr>
            <w:tcW w:w="2553" w:type="dxa"/>
          </w:tcPr>
          <w:p w14:paraId="6424579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混合云</w:t>
            </w:r>
          </w:p>
        </w:tc>
        <w:tc>
          <w:tcPr>
            <w:tcW w:w="6807" w:type="dxa"/>
          </w:tcPr>
          <w:p w14:paraId="6140F074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通过技术连接的两个或多个不同部署模型的云。</w:t>
            </w:r>
          </w:p>
        </w:tc>
      </w:tr>
      <w:tr w:rsidR="00133DB4" w:rsidRPr="002A3C61" w14:paraId="172F84A1" w14:textId="77777777">
        <w:tc>
          <w:tcPr>
            <w:tcW w:w="2553" w:type="dxa"/>
          </w:tcPr>
          <w:p w14:paraId="520D6BF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lastRenderedPageBreak/>
              <w:t>CSC</w:t>
            </w:r>
          </w:p>
        </w:tc>
        <w:tc>
          <w:tcPr>
            <w:tcW w:w="6807" w:type="dxa"/>
          </w:tcPr>
          <w:p w14:paraId="67F4034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云服务消费者，使用云服务的个人或企业。</w:t>
            </w:r>
          </w:p>
        </w:tc>
      </w:tr>
      <w:tr w:rsidR="00133DB4" w:rsidRPr="002A3C61" w14:paraId="0B8A2C3B" w14:textId="77777777">
        <w:tc>
          <w:tcPr>
            <w:tcW w:w="2553" w:type="dxa"/>
          </w:tcPr>
          <w:p w14:paraId="14FFDE4C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CSP</w:t>
            </w:r>
          </w:p>
        </w:tc>
        <w:tc>
          <w:tcPr>
            <w:tcW w:w="6807" w:type="dxa"/>
          </w:tcPr>
          <w:p w14:paraId="36FFB9DD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云服务提供商，负责提供和运营云服务。</w:t>
            </w:r>
          </w:p>
        </w:tc>
      </w:tr>
      <w:tr w:rsidR="00133DB4" w:rsidRPr="002A3C61" w14:paraId="0CED5ACC" w14:textId="77777777">
        <w:tc>
          <w:tcPr>
            <w:tcW w:w="2553" w:type="dxa"/>
          </w:tcPr>
          <w:p w14:paraId="4ECF77D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云审计者</w:t>
            </w:r>
          </w:p>
        </w:tc>
        <w:tc>
          <w:tcPr>
            <w:tcW w:w="6807" w:type="dxa"/>
          </w:tcPr>
          <w:p w14:paraId="0835A451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独立评估云服务、安全和隐私控制的实体。</w:t>
            </w:r>
          </w:p>
        </w:tc>
      </w:tr>
      <w:tr w:rsidR="00133DB4" w:rsidRPr="002A3C61" w14:paraId="3DA26E84" w14:textId="77777777">
        <w:tc>
          <w:tcPr>
            <w:tcW w:w="2553" w:type="dxa"/>
          </w:tcPr>
          <w:p w14:paraId="08C0ED66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云承载商</w:t>
            </w:r>
          </w:p>
        </w:tc>
        <w:tc>
          <w:tcPr>
            <w:tcW w:w="6807" w:type="dxa"/>
          </w:tcPr>
          <w:p w14:paraId="6C6018C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提供 CSC 与 CSP 之间连接和传输的中介。</w:t>
            </w:r>
          </w:p>
        </w:tc>
      </w:tr>
      <w:tr w:rsidR="00133DB4" w:rsidRPr="002A3C61" w14:paraId="03BA317E" w14:textId="77777777">
        <w:tc>
          <w:tcPr>
            <w:tcW w:w="2553" w:type="dxa"/>
          </w:tcPr>
          <w:p w14:paraId="1B76A60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STRIDE</w:t>
            </w:r>
          </w:p>
        </w:tc>
        <w:tc>
          <w:tcPr>
            <w:tcW w:w="6807" w:type="dxa"/>
          </w:tcPr>
          <w:p w14:paraId="31CC3FD9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按身份欺骗、篡改、抵赖、泄露、拒绝服务和提升权限分类威胁的模型。</w:t>
            </w:r>
          </w:p>
        </w:tc>
      </w:tr>
      <w:tr w:rsidR="00133DB4" w:rsidRPr="002A3C61" w14:paraId="547F3829" w14:textId="77777777">
        <w:tc>
          <w:tcPr>
            <w:tcW w:w="2553" w:type="dxa"/>
          </w:tcPr>
          <w:p w14:paraId="1909511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2A3C61">
              <w:rPr>
                <w:rFonts w:asciiTheme="minorEastAsia" w:hAnsiTheme="minorEastAsia"/>
                <w:sz w:val="20"/>
                <w:szCs w:val="20"/>
              </w:rPr>
              <w:t>SecaaS</w:t>
            </w:r>
            <w:proofErr w:type="spellEnd"/>
          </w:p>
        </w:tc>
        <w:tc>
          <w:tcPr>
            <w:tcW w:w="6807" w:type="dxa"/>
          </w:tcPr>
          <w:p w14:paraId="1578C08A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通过云提供身份、数据、Web、入侵、加密等安全服务。</w:t>
            </w:r>
          </w:p>
        </w:tc>
      </w:tr>
      <w:tr w:rsidR="00133DB4" w:rsidRPr="002A3C61" w14:paraId="333910AE" w14:textId="77777777">
        <w:tc>
          <w:tcPr>
            <w:tcW w:w="2553" w:type="dxa"/>
          </w:tcPr>
          <w:p w14:paraId="2F9A686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IAM</w:t>
            </w:r>
          </w:p>
        </w:tc>
        <w:tc>
          <w:tcPr>
            <w:tcW w:w="6807" w:type="dxa"/>
          </w:tcPr>
          <w:p w14:paraId="51A49D72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身份验证、授权及访问权限管理。</w:t>
            </w:r>
          </w:p>
        </w:tc>
      </w:tr>
      <w:tr w:rsidR="00133DB4" w:rsidRPr="002A3C61" w14:paraId="34FDFEF9" w14:textId="77777777">
        <w:tc>
          <w:tcPr>
            <w:tcW w:w="2553" w:type="dxa"/>
          </w:tcPr>
          <w:p w14:paraId="2F41BD20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SIEM</w:t>
            </w:r>
          </w:p>
        </w:tc>
        <w:tc>
          <w:tcPr>
            <w:tcW w:w="6807" w:type="dxa"/>
          </w:tcPr>
          <w:p w14:paraId="08014D4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聚合、关联和分析日志与事件并产生告警的安全信息系统。</w:t>
            </w:r>
          </w:p>
        </w:tc>
      </w:tr>
      <w:tr w:rsidR="00133DB4" w:rsidRPr="002A3C61" w14:paraId="7849C8F1" w14:textId="77777777">
        <w:tc>
          <w:tcPr>
            <w:tcW w:w="2553" w:type="dxa"/>
          </w:tcPr>
          <w:p w14:paraId="0F2B650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Keystone</w:t>
            </w:r>
          </w:p>
        </w:tc>
        <w:tc>
          <w:tcPr>
            <w:tcW w:w="6807" w:type="dxa"/>
          </w:tcPr>
          <w:p w14:paraId="0ED0B8AF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OpenStack 提供身份、令牌、服务目录和策略的安全模块。</w:t>
            </w:r>
          </w:p>
        </w:tc>
      </w:tr>
      <w:tr w:rsidR="00133DB4" w:rsidRPr="002A3C61" w14:paraId="02CD4725" w14:textId="77777777">
        <w:tc>
          <w:tcPr>
            <w:tcW w:w="2553" w:type="dxa"/>
          </w:tcPr>
          <w:p w14:paraId="41AECEA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Nova</w:t>
            </w:r>
          </w:p>
        </w:tc>
        <w:tc>
          <w:tcPr>
            <w:tcW w:w="6807" w:type="dxa"/>
          </w:tcPr>
          <w:p w14:paraId="6A3B5F8B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OpenStack 虚拟机计算和生命周期管理模块。</w:t>
            </w:r>
          </w:p>
        </w:tc>
      </w:tr>
      <w:tr w:rsidR="00133DB4" w:rsidRPr="002A3C61" w14:paraId="245BA44A" w14:textId="77777777">
        <w:tc>
          <w:tcPr>
            <w:tcW w:w="2553" w:type="dxa"/>
          </w:tcPr>
          <w:p w14:paraId="182EFC48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Glance</w:t>
            </w:r>
          </w:p>
        </w:tc>
        <w:tc>
          <w:tcPr>
            <w:tcW w:w="6807" w:type="dxa"/>
          </w:tcPr>
          <w:p w14:paraId="5D91259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OpenStack 虚拟机磁盘映像管理模块。</w:t>
            </w:r>
          </w:p>
        </w:tc>
      </w:tr>
      <w:tr w:rsidR="00133DB4" w:rsidRPr="002A3C61" w14:paraId="30BB54D7" w14:textId="77777777">
        <w:tc>
          <w:tcPr>
            <w:tcW w:w="2553" w:type="dxa"/>
          </w:tcPr>
          <w:p w14:paraId="6ABA789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Swift</w:t>
            </w:r>
          </w:p>
        </w:tc>
        <w:tc>
          <w:tcPr>
            <w:tcW w:w="6807" w:type="dxa"/>
          </w:tcPr>
          <w:p w14:paraId="0EB0D3D5" w14:textId="77777777" w:rsidR="00133DB4" w:rsidRPr="002A3C61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2A3C61">
              <w:rPr>
                <w:rFonts w:asciiTheme="minorEastAsia" w:hAnsiTheme="minorEastAsia"/>
                <w:sz w:val="20"/>
                <w:szCs w:val="20"/>
              </w:rPr>
              <w:t>OpenStack 分布式对象存储模块。</w:t>
            </w:r>
          </w:p>
        </w:tc>
      </w:tr>
    </w:tbl>
    <w:p w14:paraId="67D8CEF4" w14:textId="7ABA907D" w:rsidR="00133DB4" w:rsidRPr="002A3C61" w:rsidRDefault="00000000" w:rsidP="00F55208">
      <w:pPr>
        <w:spacing w:before="24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 </w:t>
      </w:r>
    </w:p>
    <w:p w14:paraId="20DBB54B" w14:textId="32FF05F4" w:rsidR="00133DB4" w:rsidRPr="002A3C61" w:rsidRDefault="00000000" w:rsidP="00F55208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2A3C61">
        <w:rPr>
          <w:rFonts w:asciiTheme="minorEastAsia" w:hAnsiTheme="minorEastAsia"/>
          <w:sz w:val="24"/>
          <w:szCs w:val="24"/>
        </w:rPr>
        <w:t>学习目标自检</w:t>
      </w:r>
    </w:p>
    <w:p w14:paraId="27C6BA0A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1. 能否说明云计算的 NIST 定义及广泛网络接入、快速可伸缩性、计量、自助和资源池化五个特征？</w:t>
      </w:r>
    </w:p>
    <w:p w14:paraId="0DDBE987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2. 能否比较 SaaS、PaaS 和 IaaS 的用户能力、责任边界和典型用途？</w:t>
      </w:r>
    </w:p>
    <w:p w14:paraId="489A95FE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3. 能否定义公有云、私有云、社区云和混合云，并比较它们的成本、安全性、扩展性和管理方式？</w:t>
      </w:r>
    </w:p>
    <w:p w14:paraId="6D7902B8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4. 能否说明 NIST 云计算参考架构的用途、五个主要角色及三类网络关注点？</w:t>
      </w:r>
    </w:p>
    <w:p w14:paraId="566A37B1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5. 能否用责任划分和 STRIDE 模型分析数据泄露、IAM、API、APT、数据丢失和共享技术等云安全威胁？</w:t>
      </w:r>
    </w:p>
    <w:p w14:paraId="43E75C0A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 xml:space="preserve">6. 能否列出 </w:t>
      </w:r>
      <w:proofErr w:type="spellStart"/>
      <w:r w:rsidRPr="002A3C61">
        <w:rPr>
          <w:rFonts w:asciiTheme="minorEastAsia" w:hAnsiTheme="minorEastAsia"/>
          <w:sz w:val="20"/>
          <w:szCs w:val="20"/>
        </w:rPr>
        <w:t>SecaaS</w:t>
      </w:r>
      <w:proofErr w:type="spellEnd"/>
      <w:r w:rsidRPr="002A3C61">
        <w:rPr>
          <w:rFonts w:asciiTheme="minorEastAsia" w:hAnsiTheme="minorEastAsia"/>
          <w:sz w:val="20"/>
          <w:szCs w:val="20"/>
        </w:rPr>
        <w:t xml:space="preserve"> 的十类服务，并说明 DLP、Web 安全、入侵管理、SIEM、加密和灾难恢复的作用？</w:t>
      </w:r>
    </w:p>
    <w:p w14:paraId="1DC2C433" w14:textId="77777777" w:rsidR="00133DB4" w:rsidRPr="002A3C61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2A3C61">
        <w:rPr>
          <w:rFonts w:asciiTheme="minorEastAsia" w:hAnsiTheme="minorEastAsia"/>
          <w:sz w:val="20"/>
          <w:szCs w:val="20"/>
        </w:rPr>
        <w:t>7. 能否解释 Keystone 的身份、令牌、服务目录和策略服务，以及它与 Nova、Glance、Swift 的协作？</w:t>
      </w:r>
    </w:p>
    <w:sectPr w:rsidR="00133DB4" w:rsidRPr="002A3C61" w:rsidSect="00CD19DA">
      <w:footerReference w:type="default" r:id="rId13"/>
      <w:pgSz w:w="10318" w:h="14570" w:code="13"/>
      <w:pgMar w:top="1440" w:right="1440" w:bottom="1440" w:left="1440" w:header="708" w:footer="708" w:gutter="0"/>
      <w:pgNumType w:start="35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C18C7" w14:textId="77777777" w:rsidR="00AB0828" w:rsidRDefault="00AB0828" w:rsidP="00CD19DA">
      <w:r>
        <w:separator/>
      </w:r>
    </w:p>
  </w:endnote>
  <w:endnote w:type="continuationSeparator" w:id="0">
    <w:p w14:paraId="0437CB04" w14:textId="77777777" w:rsidR="00AB0828" w:rsidRDefault="00AB0828" w:rsidP="00CD1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8695001"/>
      <w:docPartObj>
        <w:docPartGallery w:val="Page Numbers (Bottom of Page)"/>
        <w:docPartUnique/>
      </w:docPartObj>
    </w:sdtPr>
    <w:sdtContent>
      <w:p w14:paraId="6CCAAA11" w14:textId="2DA5480F" w:rsidR="00CD19DA" w:rsidRDefault="00CD19DA">
        <w:pPr>
          <w:pStyle w:val="ac"/>
          <w:jc w:val="center"/>
        </w:pPr>
        <w:r>
          <w:rPr>
            <w:rFonts w:hint="eastAsia"/>
          </w:rPr>
          <w:t>第二十二章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·</w:t>
        </w:r>
        <w:r>
          <w:rPr>
            <w:rFonts w:hint="eastAsia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FF6EC6C" w14:textId="77777777" w:rsidR="00CD19DA" w:rsidRDefault="00CD19D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2287A" w14:textId="77777777" w:rsidR="00AB0828" w:rsidRDefault="00AB0828" w:rsidP="00CD19DA">
      <w:r>
        <w:separator/>
      </w:r>
    </w:p>
  </w:footnote>
  <w:footnote w:type="continuationSeparator" w:id="0">
    <w:p w14:paraId="1560F5AB" w14:textId="77777777" w:rsidR="00AB0828" w:rsidRDefault="00AB0828" w:rsidP="00CD19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0FE"/>
    <w:multiLevelType w:val="hybridMultilevel"/>
    <w:tmpl w:val="FBF0DDA2"/>
    <w:lvl w:ilvl="0" w:tplc="8428831A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1" w15:restartNumberingAfterBreak="0">
    <w:nsid w:val="3B3D49B1"/>
    <w:multiLevelType w:val="hybridMultilevel"/>
    <w:tmpl w:val="C9C060CC"/>
    <w:lvl w:ilvl="0" w:tplc="66E6E748">
      <w:numFmt w:val="bullet"/>
      <w:lvlText w:val=""/>
      <w:lvlJc w:val="left"/>
      <w:pPr>
        <w:ind w:left="42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840" w:hanging="180"/>
      </w:pPr>
    </w:lvl>
    <w:lvl w:ilvl="2" w:tplc="FFFFFFFF">
      <w:start w:val="1"/>
      <w:numFmt w:val="bullet"/>
      <w:suff w:val="space"/>
      <w:lvlText w:val="■"/>
      <w:lvlJc w:val="left"/>
      <w:pPr>
        <w:ind w:left="1260" w:hanging="180"/>
      </w:pPr>
    </w:lvl>
    <w:lvl w:ilvl="3" w:tplc="FFFFFFFF">
      <w:start w:val="1"/>
      <w:numFmt w:val="bullet"/>
      <w:suff w:val="space"/>
      <w:lvlText w:val="●"/>
      <w:lvlJc w:val="left"/>
      <w:pPr>
        <w:ind w:left="1680" w:hanging="180"/>
      </w:pPr>
    </w:lvl>
    <w:lvl w:ilvl="4" w:tplc="FFFFFFFF">
      <w:start w:val="1"/>
      <w:numFmt w:val="bullet"/>
      <w:suff w:val="space"/>
      <w:lvlText w:val="○"/>
      <w:lvlJc w:val="left"/>
      <w:pPr>
        <w:ind w:left="2100" w:hanging="180"/>
      </w:pPr>
    </w:lvl>
    <w:lvl w:ilvl="5" w:tplc="FFFFFFFF">
      <w:start w:val="1"/>
      <w:numFmt w:val="bullet"/>
      <w:suff w:val="space"/>
      <w:lvlText w:val="■"/>
      <w:lvlJc w:val="left"/>
      <w:pPr>
        <w:ind w:left="2520" w:hanging="180"/>
      </w:pPr>
    </w:lvl>
    <w:lvl w:ilvl="6" w:tplc="FFFFFFFF">
      <w:start w:val="1"/>
      <w:numFmt w:val="bullet"/>
      <w:suff w:val="space"/>
      <w:lvlText w:val="●"/>
      <w:lvlJc w:val="left"/>
      <w:pPr>
        <w:ind w:left="2940" w:hanging="180"/>
      </w:pPr>
    </w:lvl>
    <w:lvl w:ilvl="7" w:tplc="FFFFFFFF">
      <w:start w:val="1"/>
      <w:numFmt w:val="bullet"/>
      <w:suff w:val="space"/>
      <w:lvlText w:val="○"/>
      <w:lvlJc w:val="left"/>
      <w:pPr>
        <w:ind w:left="3360" w:hanging="180"/>
      </w:pPr>
    </w:lvl>
    <w:lvl w:ilvl="8" w:tplc="FFFFFFFF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2" w15:restartNumberingAfterBreak="0">
    <w:nsid w:val="42741060"/>
    <w:multiLevelType w:val="hybridMultilevel"/>
    <w:tmpl w:val="B9940848"/>
    <w:lvl w:ilvl="0" w:tplc="00C266B0">
      <w:start w:val="1"/>
      <w:numFmt w:val="bullet"/>
      <w:suff w:val="space"/>
      <w:lvlText w:val="●"/>
      <w:lvlJc w:val="left"/>
      <w:pPr>
        <w:ind w:left="240" w:hanging="180"/>
      </w:pPr>
    </w:lvl>
    <w:lvl w:ilvl="1" w:tplc="D13C7610">
      <w:start w:val="1"/>
      <w:numFmt w:val="bullet"/>
      <w:suff w:val="space"/>
      <w:lvlText w:val="○"/>
      <w:lvlJc w:val="left"/>
      <w:pPr>
        <w:ind w:left="660" w:hanging="180"/>
      </w:pPr>
    </w:lvl>
    <w:lvl w:ilvl="2" w:tplc="C644A6E8">
      <w:start w:val="1"/>
      <w:numFmt w:val="bullet"/>
      <w:suff w:val="space"/>
      <w:lvlText w:val="■"/>
      <w:lvlJc w:val="left"/>
      <w:pPr>
        <w:ind w:left="1080" w:hanging="180"/>
      </w:pPr>
    </w:lvl>
    <w:lvl w:ilvl="3" w:tplc="BA946D7A">
      <w:start w:val="1"/>
      <w:numFmt w:val="bullet"/>
      <w:suff w:val="space"/>
      <w:lvlText w:val="●"/>
      <w:lvlJc w:val="left"/>
      <w:pPr>
        <w:ind w:left="1500" w:hanging="180"/>
      </w:pPr>
    </w:lvl>
    <w:lvl w:ilvl="4" w:tplc="4B186ACE">
      <w:start w:val="1"/>
      <w:numFmt w:val="bullet"/>
      <w:suff w:val="space"/>
      <w:lvlText w:val="○"/>
      <w:lvlJc w:val="left"/>
      <w:pPr>
        <w:ind w:left="1920" w:hanging="180"/>
      </w:pPr>
    </w:lvl>
    <w:lvl w:ilvl="5" w:tplc="F028C916">
      <w:start w:val="1"/>
      <w:numFmt w:val="bullet"/>
      <w:suff w:val="space"/>
      <w:lvlText w:val="■"/>
      <w:lvlJc w:val="left"/>
      <w:pPr>
        <w:ind w:left="2340" w:hanging="180"/>
      </w:pPr>
    </w:lvl>
    <w:lvl w:ilvl="6" w:tplc="02BAE1A2">
      <w:start w:val="1"/>
      <w:numFmt w:val="bullet"/>
      <w:suff w:val="space"/>
      <w:lvlText w:val="●"/>
      <w:lvlJc w:val="left"/>
      <w:pPr>
        <w:ind w:left="2760" w:hanging="180"/>
      </w:pPr>
    </w:lvl>
    <w:lvl w:ilvl="7" w:tplc="8D06A648">
      <w:start w:val="1"/>
      <w:numFmt w:val="bullet"/>
      <w:suff w:val="space"/>
      <w:lvlText w:val="○"/>
      <w:lvlJc w:val="left"/>
      <w:pPr>
        <w:ind w:left="3180" w:hanging="180"/>
      </w:pPr>
    </w:lvl>
    <w:lvl w:ilvl="8" w:tplc="8DC40CC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" w15:restartNumberingAfterBreak="0">
    <w:nsid w:val="51433594"/>
    <w:multiLevelType w:val="hybridMultilevel"/>
    <w:tmpl w:val="345865C6"/>
    <w:lvl w:ilvl="0" w:tplc="0409000F">
      <w:start w:val="1"/>
      <w:numFmt w:val="decimal"/>
      <w:lvlText w:val="%1."/>
      <w:lvlJc w:val="left"/>
      <w:pPr>
        <w:ind w:left="460" w:hanging="440"/>
      </w:p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4" w15:restartNumberingAfterBreak="0">
    <w:nsid w:val="5ACC10F6"/>
    <w:multiLevelType w:val="hybridMultilevel"/>
    <w:tmpl w:val="CCB23DF8"/>
    <w:lvl w:ilvl="0" w:tplc="A44A338C">
      <w:start w:val="1"/>
      <w:numFmt w:val="bullet"/>
      <w:lvlText w:val="●"/>
      <w:lvlJc w:val="left"/>
      <w:pPr>
        <w:ind w:left="720" w:hanging="360"/>
      </w:pPr>
    </w:lvl>
    <w:lvl w:ilvl="1" w:tplc="DE9A66F6">
      <w:start w:val="1"/>
      <w:numFmt w:val="bullet"/>
      <w:lvlText w:val="○"/>
      <w:lvlJc w:val="left"/>
      <w:pPr>
        <w:ind w:left="1440" w:hanging="360"/>
      </w:pPr>
    </w:lvl>
    <w:lvl w:ilvl="2" w:tplc="414EA1E2">
      <w:start w:val="1"/>
      <w:numFmt w:val="bullet"/>
      <w:lvlText w:val="■"/>
      <w:lvlJc w:val="left"/>
      <w:pPr>
        <w:ind w:left="2160" w:hanging="360"/>
      </w:pPr>
    </w:lvl>
    <w:lvl w:ilvl="3" w:tplc="040C9906">
      <w:start w:val="1"/>
      <w:numFmt w:val="bullet"/>
      <w:lvlText w:val="●"/>
      <w:lvlJc w:val="left"/>
      <w:pPr>
        <w:ind w:left="2880" w:hanging="360"/>
      </w:pPr>
    </w:lvl>
    <w:lvl w:ilvl="4" w:tplc="20D61BA2">
      <w:start w:val="1"/>
      <w:numFmt w:val="bullet"/>
      <w:lvlText w:val="○"/>
      <w:lvlJc w:val="left"/>
      <w:pPr>
        <w:ind w:left="3600" w:hanging="360"/>
      </w:pPr>
    </w:lvl>
    <w:lvl w:ilvl="5" w:tplc="76308220">
      <w:start w:val="1"/>
      <w:numFmt w:val="bullet"/>
      <w:lvlText w:val="■"/>
      <w:lvlJc w:val="left"/>
      <w:pPr>
        <w:ind w:left="4320" w:hanging="360"/>
      </w:pPr>
    </w:lvl>
    <w:lvl w:ilvl="6" w:tplc="80527120">
      <w:start w:val="1"/>
      <w:numFmt w:val="bullet"/>
      <w:lvlText w:val="●"/>
      <w:lvlJc w:val="left"/>
      <w:pPr>
        <w:ind w:left="5040" w:hanging="360"/>
      </w:pPr>
    </w:lvl>
    <w:lvl w:ilvl="7" w:tplc="57BC2ED4">
      <w:start w:val="1"/>
      <w:numFmt w:val="bullet"/>
      <w:lvlText w:val="●"/>
      <w:lvlJc w:val="left"/>
      <w:pPr>
        <w:ind w:left="5760" w:hanging="360"/>
      </w:pPr>
    </w:lvl>
    <w:lvl w:ilvl="8" w:tplc="F9F6035A">
      <w:start w:val="1"/>
      <w:numFmt w:val="bullet"/>
      <w:lvlText w:val="●"/>
      <w:lvlJc w:val="left"/>
      <w:pPr>
        <w:ind w:left="6480" w:hanging="360"/>
      </w:pPr>
    </w:lvl>
  </w:abstractNum>
  <w:num w:numId="1" w16cid:durableId="1400590606">
    <w:abstractNumId w:val="4"/>
    <w:lvlOverride w:ilvl="0">
      <w:startOverride w:val="1"/>
    </w:lvlOverride>
  </w:num>
  <w:num w:numId="2" w16cid:durableId="1354958606">
    <w:abstractNumId w:val="2"/>
    <w:lvlOverride w:ilvl="0">
      <w:startOverride w:val="1"/>
    </w:lvlOverride>
  </w:num>
  <w:num w:numId="3" w16cid:durableId="681013344">
    <w:abstractNumId w:val="3"/>
  </w:num>
  <w:num w:numId="4" w16cid:durableId="1241715654">
    <w:abstractNumId w:val="0"/>
  </w:num>
  <w:num w:numId="5" w16cid:durableId="950012608">
    <w:abstractNumId w:val="2"/>
  </w:num>
  <w:num w:numId="6" w16cid:durableId="1522621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DB4"/>
    <w:rsid w:val="00115E2E"/>
    <w:rsid w:val="00133DB4"/>
    <w:rsid w:val="001413AE"/>
    <w:rsid w:val="002A3C61"/>
    <w:rsid w:val="006F6EDB"/>
    <w:rsid w:val="008574D3"/>
    <w:rsid w:val="00917972"/>
    <w:rsid w:val="00AB0828"/>
    <w:rsid w:val="00B04293"/>
    <w:rsid w:val="00B72898"/>
    <w:rsid w:val="00CD19DA"/>
    <w:rsid w:val="00D15859"/>
    <w:rsid w:val="00D54EDD"/>
    <w:rsid w:val="00F55208"/>
    <w:rsid w:val="00FF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6DE70"/>
  <w15:docId w15:val="{BB129AA8-D365-4592-86E7-F54ED6C2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8574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D19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CD19DA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CD19D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CD19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995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12</cp:revision>
  <dcterms:created xsi:type="dcterms:W3CDTF">2026-09-07T03:19:00Z</dcterms:created>
  <dcterms:modified xsi:type="dcterms:W3CDTF">2026-09-07T06:32:00Z</dcterms:modified>
</cp:coreProperties>
</file>