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85FD" w14:textId="77777777" w:rsidR="00926A87" w:rsidRPr="00581DF1" w:rsidRDefault="00000000">
      <w:pPr>
        <w:pStyle w:val="1"/>
        <w:spacing w:after="200"/>
        <w:jc w:val="center"/>
        <w:rPr>
          <w:rFonts w:asciiTheme="minorEastAsia" w:hAnsiTheme="minorEastAsia"/>
          <w:sz w:val="32"/>
          <w:szCs w:val="32"/>
        </w:rPr>
      </w:pPr>
      <w:r w:rsidRPr="00581DF1">
        <w:rPr>
          <w:rFonts w:asciiTheme="minorEastAsia" w:hAnsiTheme="minorEastAsia"/>
          <w:sz w:val="32"/>
          <w:szCs w:val="32"/>
        </w:rPr>
        <w:t>第 7 章 分组密码的工作模式</w:t>
      </w:r>
    </w:p>
    <w:p w14:paraId="7050206F" w14:textId="77777777" w:rsidR="00926A87" w:rsidRPr="00581DF1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581DF1">
        <w:rPr>
          <w:rFonts w:asciiTheme="minorEastAsia" w:hAnsiTheme="minorEastAsia"/>
          <w:sz w:val="28"/>
          <w:szCs w:val="28"/>
        </w:rPr>
        <w:t>0. 学习目标总览</w:t>
      </w:r>
    </w:p>
    <w:p w14:paraId="1231FE84" w14:textId="4388F57B" w:rsidR="00926A87" w:rsidRPr="00581DF1" w:rsidRDefault="00000000" w:rsidP="00581DF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教材给出本章四个学习目标：</w:t>
      </w:r>
    </w:p>
    <w:p w14:paraId="22FDCCBF" w14:textId="77777777" w:rsidR="00926A87" w:rsidRPr="00581DF1" w:rsidRDefault="00000000" w:rsidP="00581DF1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1. 分析多重加密方案的安全性。</w:t>
      </w:r>
    </w:p>
    <w:p w14:paraId="7DA4771A" w14:textId="77777777" w:rsidR="00926A87" w:rsidRPr="00581DF1" w:rsidRDefault="00000000" w:rsidP="00581DF1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2. 了解中间相遇攻击。</w:t>
      </w:r>
    </w:p>
    <w:p w14:paraId="297A17BC" w14:textId="77777777" w:rsidR="00926A87" w:rsidRPr="00581DF1" w:rsidRDefault="00000000" w:rsidP="00581DF1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3. 比较 ECB、CBC、CFB、OFB 和其他工作模式。</w:t>
      </w:r>
    </w:p>
    <w:p w14:paraId="4BED415E" w14:textId="77777777" w:rsidR="00926A87" w:rsidRPr="00581DF1" w:rsidRDefault="00000000" w:rsidP="00581DF1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4. 简要介绍 XTS-AES 工作模式。</w:t>
      </w:r>
    </w:p>
    <w:p w14:paraId="67F18438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376A46B7" w14:textId="77777777" w:rsidR="00926A87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本章先说明如何在不替换已有 DES 软硬件的条件下，通过多重加密加强 DES；然后讨论将固定长度分组密码用于长消息和数据流的模式；最后介绍面向分组存储设备的 XTS-AES，以及能保留原始数据格式的 FPE。</w:t>
      </w:r>
    </w:p>
    <w:p w14:paraId="64E7B5C8" w14:textId="77777777" w:rsidR="002733BF" w:rsidRPr="00581DF1" w:rsidRDefault="002733BF">
      <w:pPr>
        <w:spacing w:after="120"/>
        <w:rPr>
          <w:rFonts w:asciiTheme="minorEastAsia" w:hAnsiTheme="minorEastAsia" w:hint="eastAsia"/>
          <w:sz w:val="21"/>
          <w:szCs w:val="21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70194D" w14:paraId="2AB4E10F" w14:textId="77777777" w:rsidTr="0070194D">
        <w:tc>
          <w:tcPr>
            <w:tcW w:w="7428" w:type="dxa"/>
          </w:tcPr>
          <w:p w14:paraId="188B1517" w14:textId="57509B3E" w:rsidR="0070194D" w:rsidRDefault="0070194D">
            <w:pPr>
              <w:spacing w:after="200"/>
              <w:rPr>
                <w:rFonts w:asciiTheme="minorEastAsia" w:hAnsiTheme="minorEastAsia"/>
                <w:sz w:val="21"/>
                <w:szCs w:val="21"/>
              </w:rPr>
            </w:pP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分组密码的扩展使用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|-- 多重加密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 |-- 双重 DES：中间相遇攻击破坏有效强度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 `-- 三重 DES：双密钥 / 三密钥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|-- 通用工作模式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 |-- ECB：独立分组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 |-- CBC：前一密文链接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 |-- CFB：密文反馈，s 位单元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 |-- OFB：输出反馈，独立密钥流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 `-- CTR：加密唯一计数器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|-- 存储加密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 `-- XTS-AES：调整值 + 分组序号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|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`-- 保留格式加密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      |-- 格式与长度不变    </w:t>
            </w:r>
            <w:r w:rsidRPr="00581DF1">
              <w:rPr>
                <w:rFonts w:asciiTheme="minorEastAsia" w:hAnsiTheme="minorEastAsia"/>
                <w:sz w:val="21"/>
                <w:szCs w:val="21"/>
              </w:rPr>
              <w:br/>
            </w:r>
            <w:r w:rsidRPr="0070194D">
              <w:rPr>
                <w:rFonts w:asciiTheme="minorEastAsia" w:hAnsiTheme="minorEastAsia"/>
                <w:sz w:val="21"/>
                <w:szCs w:val="21"/>
              </w:rPr>
              <w:t xml:space="preserve">            `-- Feistel 结构：FF1、FF2、FF3    </w:t>
            </w:r>
          </w:p>
        </w:tc>
      </w:tr>
    </w:tbl>
    <w:p w14:paraId="7ADFC613" w14:textId="3231F2E8" w:rsidR="00926A87" w:rsidRDefault="00926A87">
      <w:pPr>
        <w:spacing w:after="200"/>
        <w:rPr>
          <w:rFonts w:asciiTheme="minorEastAsia" w:hAnsiTheme="minorEastAsia"/>
          <w:sz w:val="21"/>
          <w:szCs w:val="21"/>
        </w:rPr>
      </w:pPr>
    </w:p>
    <w:p w14:paraId="2D8A3CBA" w14:textId="77777777" w:rsidR="002733BF" w:rsidRPr="00581DF1" w:rsidRDefault="002733BF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75BECA2C" w14:textId="77777777" w:rsidR="00926A87" w:rsidRPr="00581DF1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581DF1">
        <w:rPr>
          <w:rFonts w:asciiTheme="minorEastAsia" w:hAnsiTheme="minorEastAsia"/>
          <w:sz w:val="28"/>
          <w:szCs w:val="28"/>
        </w:rPr>
        <w:lastRenderedPageBreak/>
        <w:t>1. 学习目标 1：分析多重加密方案的安全性</w:t>
      </w:r>
    </w:p>
    <w:p w14:paraId="335F032E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1.1 双重 DES 不会约化为单重 DES</w:t>
      </w:r>
    </w:p>
    <w:p w14:paraId="14F0EF51" w14:textId="3D25C8B9" w:rsidR="00926A87" w:rsidRPr="00581DF1" w:rsidRDefault="00000000" w:rsidP="00267BC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DES 抵抗穷举攻击较弱，增强方案之一是在相同 DES 算法上使用多个密钥、执行多次加密。双重 DES 的定义为</w:t>
      </w:r>
    </w:p>
    <w:p w14:paraId="7A19A0C2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C=E(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,P))</m:t>
          </m:r>
        </m:oMath>
      </m:oMathPara>
    </w:p>
    <w:p w14:paraId="4439245E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1070CC61" w14:textId="1A721541" w:rsidR="00926A87" w:rsidRPr="00581DF1" w:rsidRDefault="00000000" w:rsidP="00267BC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解密时逆序使用密钥：</w:t>
      </w:r>
    </w:p>
    <w:p w14:paraId="525D5245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P=D(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,D(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,C))</m:t>
          </m:r>
        </m:oMath>
      </m:oMathPara>
    </w:p>
    <w:p w14:paraId="612A0146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7680FDBC" w14:textId="715B33A4" w:rsidR="00926A87" w:rsidRPr="00581DF1" w:rsidRDefault="00000000" w:rsidP="00267BC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双重 DES 的密钥长度为 </w:t>
      </w:r>
      <m:oMath>
        <m:r>
          <w:rPr>
            <w:rFonts w:ascii="Cambria Math" w:hAnsi="Cambria Math"/>
            <w:sz w:val="21"/>
            <w:szCs w:val="21"/>
          </w:rPr>
          <m:t>56×2=112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位。一个首先需要排除的问题是：两次 DES 是否等价于某个单密钥 DES，即是否总存在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3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使</w:t>
      </w:r>
    </w:p>
    <w:p w14:paraId="4D93035E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E(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,E(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,P))=E(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,P)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(7.1)</m:t>
                </m:r>
              </m:e>
            </m:mr>
          </m:m>
        </m:oMath>
      </m:oMathPara>
    </w:p>
    <w:p w14:paraId="1BF5008C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2122B4B5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教材的论证是：一个特定 DES 密钥给出的是对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64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个分组的一种置换。所有可能置换数为 </w:t>
      </w:r>
      <m:oMath>
        <m:r>
          <w:rPr>
            <w:rFonts w:ascii="Cambria Math" w:hAnsi="Cambria Math"/>
            <w:sz w:val="21"/>
            <w:szCs w:val="21"/>
          </w:rPr>
          <m:t>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64</m:t>
            </m:r>
          </m:sup>
        </m:sSup>
        <m:r>
          <w:rPr>
            <w:rFonts w:ascii="Cambria Math" w:hAnsi="Cambria Math"/>
            <w:sz w:val="21"/>
            <w:szCs w:val="21"/>
          </w:rPr>
          <m:t>)!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，而 DES 仅有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56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个密钥所定义的映射，二者数量级极不相称。因此，双重 DES 所能实现的映射一般不能由单重 DES 实现；该假设后被证明。</w:t>
      </w:r>
    </w:p>
    <w:p w14:paraId="4B7B3FEC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5250151A" w14:textId="77777777" w:rsidR="00926A87" w:rsidRPr="00581DF1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64 位分组可以有大量的置换，总数为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64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>；</w:t>
      </w:r>
      <w:r w:rsidRPr="00581DF1">
        <w:rPr>
          <w:rFonts w:asciiTheme="minorEastAsia" w:hAnsiTheme="minorEastAsia"/>
          <w:sz w:val="21"/>
          <w:szCs w:val="21"/>
        </w:rPr>
        <w:br/>
        <w:t xml:space="preserve">DES 56 位密钥，只能实现其中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56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种</w:t>
      </w:r>
      <w:proofErr w:type="gramStart"/>
      <w:r w:rsidRPr="00581DF1">
        <w:rPr>
          <w:rFonts w:asciiTheme="minorEastAsia" w:hAnsiTheme="minorEastAsia"/>
          <w:sz w:val="21"/>
          <w:szCs w:val="21"/>
        </w:rPr>
        <w:t>置换;</w:t>
      </w:r>
      <w:proofErr w:type="gramEnd"/>
      <w:r w:rsidRPr="00581DF1">
        <w:rPr>
          <w:rFonts w:asciiTheme="minorEastAsia" w:hAnsiTheme="minorEastAsia"/>
          <w:sz w:val="21"/>
          <w:szCs w:val="21"/>
        </w:rPr>
        <w:br/>
        <w:t>把两次 DES 置换叠加在一起，得到新置换；</w:t>
      </w:r>
      <w:r w:rsidRPr="00581DF1">
        <w:rPr>
          <w:rFonts w:asciiTheme="minorEastAsia" w:hAnsiTheme="minorEastAsia"/>
          <w:sz w:val="21"/>
          <w:szCs w:val="21"/>
        </w:rPr>
        <w:br/>
        <w:t>因为置换数量太过庞大，两次叠加出来的结果，几乎不会刚好是某一个 DES 密钥能直接做到的置换；</w:t>
      </w:r>
      <w:r w:rsidRPr="00581DF1">
        <w:rPr>
          <w:rFonts w:asciiTheme="minorEastAsia" w:hAnsiTheme="minorEastAsia"/>
          <w:sz w:val="21"/>
          <w:szCs w:val="21"/>
        </w:rPr>
        <w:br/>
        <w:t xml:space="preserve">所以双重 DES 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≠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某个单 DES。</w:t>
      </w:r>
    </w:p>
    <w:p w14:paraId="65467483" w14:textId="77777777" w:rsidR="00926A87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267BC6" w14:paraId="1985EC48" w14:textId="77777777" w:rsidTr="00267BC6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FC95319" w14:textId="6276D757" w:rsidR="00267BC6" w:rsidRDefault="00267BC6" w:rsidP="00267BC6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792483" wp14:editId="147543BF">
                  <wp:extent cx="2361063" cy="3020688"/>
                  <wp:effectExtent l="0" t="0" r="1270" b="8890"/>
                  <wp:docPr id="10989928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395" cy="3027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14554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1.2 双重 DES 的有效安全性：中间相遇攻击</w:t>
      </w:r>
    </w:p>
    <w:p w14:paraId="6074FBA1" w14:textId="3EF67501" w:rsidR="00926A87" w:rsidRPr="00581DF1" w:rsidRDefault="00000000" w:rsidP="00267BC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尽管双重 DES 并不等价于单重 DES，却能被通用于分组密码的中间相遇攻击有效攻击。由</w:t>
      </w:r>
    </w:p>
    <w:p w14:paraId="02E647C1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C=E(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,P))</m:t>
          </m:r>
        </m:oMath>
      </m:oMathPara>
    </w:p>
    <w:p w14:paraId="575B58AE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7038F390" w14:textId="09E1AE63" w:rsidR="00926A87" w:rsidRPr="00581DF1" w:rsidRDefault="00000000" w:rsidP="00267BC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可得中间值</w:t>
      </w:r>
    </w:p>
    <w:p w14:paraId="53E4E062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X=E(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,P)=D(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,C)</m:t>
          </m:r>
        </m:oMath>
      </m:oMathPara>
    </w:p>
    <w:p w14:paraId="0E810039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3951025C" w14:textId="3DBCF0F9" w:rsidR="00926A87" w:rsidRPr="00581DF1" w:rsidRDefault="00000000" w:rsidP="00267BC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已知一对 </w:t>
      </w:r>
      <m:oMath>
        <m:r>
          <w:rPr>
            <w:rFonts w:ascii="Cambria Math" w:hAnsi="Cambria Math"/>
            <w:sz w:val="21"/>
            <w:szCs w:val="21"/>
          </w:rPr>
          <m:t>(P,C)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时，攻击步骤为：</w:t>
      </w:r>
    </w:p>
    <w:p w14:paraId="73D45072" w14:textId="77777777" w:rsidR="00926A87" w:rsidRPr="00581DF1" w:rsidRDefault="00000000" w:rsidP="00267BC6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1. 枚举全部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56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个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，计算 </w:t>
      </w:r>
      <m:oMath>
        <m:r>
          <w:rPr>
            <w:rFonts w:ascii="Cambria Math" w:hAnsi="Cambria Math"/>
            <w:sz w:val="21"/>
            <w:szCs w:val="21"/>
          </w:rPr>
          <m:t>E(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,P)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，按中间值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建表并排序；</w:t>
      </w:r>
    </w:p>
    <w:p w14:paraId="331F1B21" w14:textId="77777777" w:rsidR="00926A87" w:rsidRPr="00581DF1" w:rsidRDefault="00000000" w:rsidP="00267BC6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2. 枚举全部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56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个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，计算 </w:t>
      </w:r>
      <m:oMath>
        <m:r>
          <w:rPr>
            <w:rFonts w:ascii="Cambria Math" w:hAnsi="Cambria Math"/>
            <w:sz w:val="21"/>
            <w:szCs w:val="21"/>
          </w:rPr>
          <m:t>D(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,C)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，在表中查找匹配的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581DF1">
        <w:rPr>
          <w:rFonts w:asciiTheme="minorEastAsia" w:hAnsiTheme="minorEastAsia"/>
          <w:sz w:val="21"/>
          <w:szCs w:val="21"/>
        </w:rPr>
        <w:t>；</w:t>
      </w:r>
    </w:p>
    <w:p w14:paraId="4B608240" w14:textId="77777777" w:rsidR="00926A87" w:rsidRPr="00581DF1" w:rsidRDefault="00000000" w:rsidP="00267BC6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3. 对匹配的候选 </w:t>
      </w:r>
      <m:oMath>
        <m:r>
          <w:rPr>
            <w:rFonts w:ascii="Cambria Math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581DF1">
        <w:rPr>
          <w:rFonts w:asciiTheme="minorEastAsia" w:hAnsiTheme="minorEastAsia"/>
          <w:sz w:val="21"/>
          <w:szCs w:val="21"/>
        </w:rPr>
        <w:t>，用另一对已知明密文验证。</w:t>
      </w:r>
    </w:p>
    <w:p w14:paraId="5071B31B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34F0F531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对固定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，112 位密钥空间对应的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112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个密钥平均映射到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64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个密文，故第一对 </w:t>
      </w:r>
      <m:oMath>
        <m:r>
          <w:rPr>
            <w:rFonts w:ascii="Cambria Math" w:hAnsi="Cambria Math"/>
            <w:sz w:val="21"/>
            <w:szCs w:val="21"/>
          </w:rPr>
          <m:t>(P,C)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会有约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48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个错误候选（平均意义下，每个密文 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会被多少个不同密钥产生呢？）。再用一对 64 位明密文，错误候选期望降至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-16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（第一组明密文筛选</w:t>
      </w:r>
      <w:r w:rsidRPr="00581DF1">
        <w:rPr>
          <w:rFonts w:asciiTheme="minorEastAsia" w:hAnsiTheme="minorEastAsia"/>
          <w:sz w:val="21"/>
          <w:szCs w:val="21"/>
        </w:rPr>
        <w:lastRenderedPageBreak/>
        <w:t xml:space="preserve">后会出现大量伪密钥，用第二组明密文去校验，伪密钥侥幸通过的可能性极低，只有很小概率还有错误密钥残留，所以几乎可以确定得到正确密钥。）；使用两对已知明密文猜出正确密钥的概率为 </w:t>
      </w:r>
      <m:oMath>
        <m:r>
          <w:rPr>
            <w:rFonts w:ascii="Cambria Math" w:hAnsi="Cambria Math"/>
            <w:sz w:val="21"/>
            <w:szCs w:val="21"/>
          </w:rPr>
          <m:t>1-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-16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。攻击时间和存储的数量级是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56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，只比单 DES 穷举量级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55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略高，因此双重 DES 并未提供预期的 112 位强度。</w:t>
      </w:r>
    </w:p>
    <w:p w14:paraId="1AFB1F3C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2EEA10BF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1.3 使用两个密钥的三重 DES</w:t>
      </w:r>
    </w:p>
    <w:p w14:paraId="339C344A" w14:textId="5A69047B" w:rsidR="00926A87" w:rsidRPr="00581DF1" w:rsidRDefault="00000000" w:rsidP="00411A8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两密钥三重 DES（3DES 或 TDEA）采用加密-解密-加密序列：</w:t>
      </w:r>
    </w:p>
    <w:p w14:paraId="211C9611" w14:textId="1B230C04" w:rsidR="00926A87" w:rsidRPr="00581DF1" w:rsidRDefault="00000000" w:rsidP="00411A81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C=E(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,D(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,P)))</m:t>
          </m:r>
        </m:oMath>
      </m:oMathPara>
    </w:p>
    <w:p w14:paraId="60B5D241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P=D(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,D(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,C)))</m:t>
          </m:r>
        </m:oMath>
      </m:oMathPara>
    </w:p>
    <w:p w14:paraId="3A4FFDC7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29C77FEE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中间的解密没有额外密码学含义，其目的在于兼容单 DES：当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时，结果退化为 </w:t>
      </w:r>
      <m:oMath>
        <m:r>
          <w:rPr>
            <w:rFonts w:ascii="Cambria Math" w:hAnsi="Cambria Math"/>
            <w:sz w:val="21"/>
            <w:szCs w:val="21"/>
          </w:rPr>
          <m:t>C=E(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,P)</m:t>
        </m:r>
      </m:oMath>
      <w:r w:rsidRPr="00581DF1">
        <w:rPr>
          <w:rFonts w:asciiTheme="minorEastAsia" w:hAnsiTheme="minorEastAsia"/>
          <w:sz w:val="21"/>
          <w:szCs w:val="21"/>
        </w:rPr>
        <w:t>、</w:t>
      </w:r>
      <m:oMath>
        <m:r>
          <w:rPr>
            <w:rFonts w:ascii="Cambria Math" w:hAnsi="Cambria Math"/>
            <w:sz w:val="21"/>
            <w:szCs w:val="21"/>
          </w:rPr>
          <m:t>P=D(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,C)</m:t>
        </m:r>
      </m:oMath>
      <w:r w:rsidRPr="00581DF1">
        <w:rPr>
          <w:rFonts w:asciiTheme="minorEastAsia" w:hAnsiTheme="minorEastAsia"/>
          <w:sz w:val="21"/>
          <w:szCs w:val="21"/>
        </w:rPr>
        <w:t>。教材指出，双密钥 3DES 曾广泛代替 DES 并纳入 ANSI X9.17、ISO 8732。</w:t>
      </w:r>
    </w:p>
    <w:p w14:paraId="65838F9F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713F0BE1" w14:textId="0ED7F428" w:rsidR="00926A87" w:rsidRPr="00581DF1" w:rsidRDefault="00000000" w:rsidP="00411A8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教材列出已知但不实用的攻击思路：Merkle 与 Hellman 的方案需约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56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次运算，却要求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56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个选择明密文对；另一已知明文攻击若收集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个 </w:t>
      </w:r>
      <m:oMath>
        <m:r>
          <w:rPr>
            <w:rFonts w:ascii="Cambria Math" w:hAnsi="Cambria Math"/>
            <w:sz w:val="21"/>
            <w:szCs w:val="21"/>
          </w:rPr>
          <m:t>(P,C)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对，期望时间为</w:t>
      </w:r>
    </w:p>
    <w:p w14:paraId="1AB7A809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×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64</m:t>
                  </m:r>
                </m:sup>
              </m:sSup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n</m:t>
              </m:r>
            </m:den>
          </m:f>
          <m:r>
            <w:rPr>
              <w:rFonts w:ascii="Cambria Math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120-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log⁡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n</m:t>
              </m:r>
            </m:sup>
          </m:sSup>
        </m:oMath>
      </m:oMathPara>
    </w:p>
    <w:p w14:paraId="12B61E0A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6FAB2505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因而仍不可行。文中还给出，穷举两密钥 3DES 的量级为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112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>，差分密码分析代价相对于单 DES 呈指数增长。</w:t>
      </w:r>
    </w:p>
    <w:p w14:paraId="13B82449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1A54B48D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1.4 使用三个密钥的三重 DES</w:t>
      </w:r>
    </w:p>
    <w:p w14:paraId="7FCA401D" w14:textId="5ABCB379" w:rsidR="00926A87" w:rsidRPr="00581DF1" w:rsidRDefault="00000000" w:rsidP="00411A8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三密钥 3DES 为</w:t>
      </w:r>
    </w:p>
    <w:p w14:paraId="0D0AA242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C=E(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,D(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,P)))</m:t>
          </m:r>
        </m:oMath>
      </m:oMathPara>
    </w:p>
    <w:p w14:paraId="6BFF6C0E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40E14A20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它可以令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3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或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以保持与 DES 的兼容。名义密钥长度为 </w:t>
      </w:r>
      <m:oMath>
        <m:r>
          <w:rPr>
            <w:rFonts w:ascii="Cambria Math" w:hAnsi="Cambria Math"/>
            <w:sz w:val="21"/>
            <w:szCs w:val="21"/>
          </w:rPr>
          <m:t>56×3=</m:t>
        </m:r>
        <m:r>
          <w:rPr>
            <w:rFonts w:ascii="Cambria Math" w:hAnsi="Cambria Math"/>
            <w:sz w:val="21"/>
            <w:szCs w:val="21"/>
          </w:rPr>
          <w:lastRenderedPageBreak/>
          <m:t>168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位，但教材指出针对三密钥 TDEA 的攻击使安全强度降至 112 位。NIST 的相关密钥管理建议推荐三密钥 3DES 替代双密钥版本。</w:t>
      </w:r>
    </w:p>
    <w:p w14:paraId="1DE57CFA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07F84403" w14:textId="77777777" w:rsidR="00926A87" w:rsidRPr="00581DF1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581DF1">
        <w:rPr>
          <w:rFonts w:asciiTheme="minorEastAsia" w:hAnsiTheme="minorEastAsia"/>
          <w:sz w:val="28"/>
          <w:szCs w:val="28"/>
        </w:rPr>
        <w:t>2. 学习目标 2：了解中间相遇攻击</w:t>
      </w:r>
    </w:p>
    <w:p w14:paraId="5A55DB9D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中间相遇攻击的核心不是利用 DES 的某个弱点，而是将串联加密的两个方向都推进到同一中间状态后进行匹配。对双重 DES，正向枚举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得到 </w:t>
      </w:r>
      <m:oMath>
        <m:r>
          <w:rPr>
            <w:rFonts w:ascii="Cambria Math" w:hAnsi="Cambria Math"/>
            <w:sz w:val="21"/>
            <w:szCs w:val="21"/>
          </w:rPr>
          <m:t>E(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,P)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，反向枚举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得到 </w:t>
      </w:r>
      <m:oMath>
        <m:r>
          <w:rPr>
            <w:rFonts w:ascii="Cambria Math" w:hAnsi="Cambria Math"/>
            <w:sz w:val="21"/>
            <w:szCs w:val="21"/>
          </w:rPr>
          <m:t>D(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,C)</m:t>
        </m:r>
      </m:oMath>
      <w:r w:rsidRPr="00581DF1">
        <w:rPr>
          <w:rFonts w:asciiTheme="minorEastAsia" w:hAnsiTheme="minorEastAsia"/>
          <w:sz w:val="21"/>
          <w:szCs w:val="21"/>
        </w:rPr>
        <w:t>；相等的中间值对应候选密钥对。</w:t>
      </w:r>
    </w:p>
    <w:p w14:paraId="2AD6FC8A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4C4B2B45" w14:textId="2D4E17A2" w:rsidR="00926A87" w:rsidRPr="00581DF1" w:rsidRDefault="00000000" w:rsidP="00411A8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攻击的关键代价与局限如下：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58"/>
        <w:gridCol w:w="5670"/>
      </w:tblGrid>
      <w:tr w:rsidR="00926A87" w:rsidRPr="00581DF1" w14:paraId="1442B292" w14:textId="77777777">
        <w:trPr>
          <w:tblHeader/>
        </w:trPr>
        <w:tc>
          <w:tcPr>
            <w:tcW w:w="2177" w:type="dxa"/>
          </w:tcPr>
          <w:p w14:paraId="7AC7DD3D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183" w:type="dxa"/>
          </w:tcPr>
          <w:p w14:paraId="607F71EE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教材结论</w:t>
            </w:r>
          </w:p>
        </w:tc>
      </w:tr>
      <w:tr w:rsidR="00926A87" w:rsidRPr="00581DF1" w14:paraId="53D05422" w14:textId="77777777">
        <w:tc>
          <w:tcPr>
            <w:tcW w:w="2177" w:type="dxa"/>
          </w:tcPr>
          <w:p w14:paraId="5DC94F39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计算</w:t>
            </w:r>
          </w:p>
        </w:tc>
        <w:tc>
          <w:tcPr>
            <w:tcW w:w="7183" w:type="dxa"/>
          </w:tcPr>
          <w:p w14:paraId="0EF122CA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约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56</m:t>
                  </m:r>
                </m:sup>
              </m:sSup>
            </m:oMath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 次正向加密与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56</m:t>
                  </m:r>
                </m:sup>
              </m:sSup>
            </m:oMath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 次反向解密，数量级为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56</m:t>
                  </m:r>
                </m:sup>
              </m:sSup>
            </m:oMath>
            <w:r w:rsidRPr="00581DF1">
              <w:rPr>
                <w:rFonts w:asciiTheme="minorEastAsia" w:hAnsiTheme="minorEastAsia"/>
                <w:sz w:val="21"/>
                <w:szCs w:val="21"/>
              </w:rPr>
              <w:t>。</w:t>
            </w:r>
          </w:p>
        </w:tc>
      </w:tr>
      <w:tr w:rsidR="00926A87" w:rsidRPr="00581DF1" w14:paraId="0D600D7F" w14:textId="77777777">
        <w:tc>
          <w:tcPr>
            <w:tcW w:w="2177" w:type="dxa"/>
          </w:tcPr>
          <w:p w14:paraId="7A38716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存储</w:t>
            </w:r>
          </w:p>
        </w:tc>
        <w:tc>
          <w:tcPr>
            <w:tcW w:w="7183" w:type="dxa"/>
          </w:tcPr>
          <w:p w14:paraId="62630FBF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需要保存并按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oMath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 排序的中间值表，规模约为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56</m:t>
                  </m:r>
                </m:sup>
              </m:sSup>
            </m:oMath>
            <w:r w:rsidRPr="00581DF1">
              <w:rPr>
                <w:rFonts w:asciiTheme="minorEastAsia" w:hAnsiTheme="minorEastAsia"/>
                <w:sz w:val="21"/>
                <w:szCs w:val="21"/>
              </w:rPr>
              <w:t>。</w:t>
            </w:r>
          </w:p>
        </w:tc>
      </w:tr>
      <w:tr w:rsidR="00926A87" w:rsidRPr="00581DF1" w14:paraId="2DC342C3" w14:textId="77777777">
        <w:tc>
          <w:tcPr>
            <w:tcW w:w="2177" w:type="dxa"/>
          </w:tcPr>
          <w:p w14:paraId="38F2855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7183" w:type="dxa"/>
          </w:tcPr>
          <w:p w14:paraId="4AF17FDE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需要两组已知明密文对来排除第一组产生的大量伪匹配。</w:t>
            </w:r>
          </w:p>
        </w:tc>
      </w:tr>
      <w:tr w:rsidR="00926A87" w:rsidRPr="00581DF1" w14:paraId="543F7E7D" w14:textId="77777777">
        <w:tc>
          <w:tcPr>
            <w:tcW w:w="2177" w:type="dxa"/>
          </w:tcPr>
          <w:p w14:paraId="36E507E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适用性</w:t>
            </w:r>
          </w:p>
        </w:tc>
        <w:tc>
          <w:tcPr>
            <w:tcW w:w="7183" w:type="dxa"/>
          </w:tcPr>
          <w:p w14:paraId="0B6C492A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不依赖 DES 的特殊性质，对所有分组密码的双重加密都有效。</w:t>
            </w:r>
          </w:p>
        </w:tc>
      </w:tr>
      <w:tr w:rsidR="00926A87" w:rsidRPr="00581DF1" w14:paraId="176BC015" w14:textId="77777777">
        <w:tc>
          <w:tcPr>
            <w:tcW w:w="2177" w:type="dxa"/>
          </w:tcPr>
          <w:p w14:paraId="22E45E06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后果</w:t>
            </w:r>
          </w:p>
        </w:tc>
        <w:tc>
          <w:tcPr>
            <w:tcW w:w="7183" w:type="dxa"/>
          </w:tcPr>
          <w:p w14:paraId="2DF7D323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双重 DES 的有效强度远低于其 112 位名义密钥长度。</w:t>
            </w:r>
          </w:p>
        </w:tc>
      </w:tr>
    </w:tbl>
    <w:p w14:paraId="1BB49B5B" w14:textId="77777777" w:rsidR="00926A87" w:rsidRPr="00581DF1" w:rsidRDefault="00000000">
      <w:pPr>
        <w:spacing w:before="24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7AB8AE99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学习时要区分“多重加密不等于单重加密”与“多重加密能否抵抗已知攻击”：双重 DES 在映射集合上确实更大，但中间相遇使这种增加未转化为相应的穷举安全性。</w:t>
      </w:r>
    </w:p>
    <w:p w14:paraId="1A0F1ACC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5083B749" w14:textId="77777777" w:rsidR="00926A87" w:rsidRPr="00581DF1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581DF1">
        <w:rPr>
          <w:rFonts w:asciiTheme="minorEastAsia" w:hAnsiTheme="minorEastAsia"/>
          <w:sz w:val="28"/>
          <w:szCs w:val="28"/>
        </w:rPr>
        <w:t>3. 学习目标 3：比较 ECB、CBC、CFB、OFB、CTR 和其他工作模式</w:t>
      </w:r>
    </w:p>
    <w:p w14:paraId="681B47AE" w14:textId="77777777" w:rsidR="00926A87" w:rsidRPr="00581DF1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分组密码工作模式本身不提供加密能力，它定义长明文的分组处理规则，反复调用底层分组密码（DES/AES/SM4</w:t>
      </w:r>
      <w:proofErr w:type="gramStart"/>
      <w:r w:rsidRPr="00581DF1">
        <w:rPr>
          <w:rFonts w:asciiTheme="minorEastAsia" w:hAnsiTheme="minorEastAsia"/>
          <w:sz w:val="21"/>
          <w:szCs w:val="21"/>
        </w:rPr>
        <w:t>/...</w:t>
      </w:r>
      <w:proofErr w:type="gramEnd"/>
      <w:r w:rsidRPr="00581DF1">
        <w:rPr>
          <w:rFonts w:asciiTheme="minorEastAsia" w:hAnsiTheme="minorEastAsia"/>
          <w:sz w:val="21"/>
          <w:szCs w:val="21"/>
        </w:rPr>
        <w:t>），实现任意长度数据的加解密。</w:t>
      </w:r>
    </w:p>
    <w:p w14:paraId="7999C815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1B9DC0B9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3.1 NIST 五种基本模式总览</w:t>
      </w:r>
    </w:p>
    <w:p w14:paraId="0DF72CB0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分组密码接受固定长度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位明文块，输出同长密文块。SP 800-38A 定义五种模</w:t>
      </w:r>
      <w:r w:rsidRPr="00581DF1">
        <w:rPr>
          <w:rFonts w:asciiTheme="minorEastAsia" w:hAnsiTheme="minorEastAsia"/>
          <w:sz w:val="21"/>
          <w:szCs w:val="21"/>
        </w:rPr>
        <w:lastRenderedPageBreak/>
        <w:t>式，将分组密码适配为分组序列或数据流的加密方法。它们适用于 3DES、AES 等任意分组密码。</w:t>
      </w:r>
    </w:p>
    <w:p w14:paraId="5E7A073F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94"/>
        <w:gridCol w:w="2768"/>
        <w:gridCol w:w="1310"/>
        <w:gridCol w:w="2456"/>
      </w:tblGrid>
      <w:tr w:rsidR="00926A87" w:rsidRPr="00581DF1" w14:paraId="082F9557" w14:textId="77777777">
        <w:trPr>
          <w:tblHeader/>
        </w:trPr>
        <w:tc>
          <w:tcPr>
            <w:tcW w:w="1085" w:type="dxa"/>
          </w:tcPr>
          <w:p w14:paraId="0A74D548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模式</w:t>
            </w:r>
          </w:p>
        </w:tc>
        <w:tc>
          <w:tcPr>
            <w:tcW w:w="3527" w:type="dxa"/>
          </w:tcPr>
          <w:p w14:paraId="3F26D305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核心机制</w:t>
            </w:r>
          </w:p>
        </w:tc>
        <w:tc>
          <w:tcPr>
            <w:tcW w:w="1628" w:type="dxa"/>
          </w:tcPr>
          <w:p w14:paraId="4F7A3291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填充</w:t>
            </w:r>
          </w:p>
        </w:tc>
        <w:tc>
          <w:tcPr>
            <w:tcW w:w="3120" w:type="dxa"/>
          </w:tcPr>
          <w:p w14:paraId="1DF2D705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教材列出的典型应用</w:t>
            </w:r>
          </w:p>
        </w:tc>
      </w:tr>
      <w:tr w:rsidR="00926A87" w:rsidRPr="00581DF1" w14:paraId="356E1563" w14:textId="77777777">
        <w:tc>
          <w:tcPr>
            <w:tcW w:w="1085" w:type="dxa"/>
          </w:tcPr>
          <w:p w14:paraId="2480D8C3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ECB</w:t>
            </w:r>
          </w:p>
        </w:tc>
        <w:tc>
          <w:tcPr>
            <w:tcW w:w="3527" w:type="dxa"/>
          </w:tcPr>
          <w:p w14:paraId="7E08867B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各明文分组独立、同密钥加密</w:t>
            </w:r>
          </w:p>
        </w:tc>
        <w:tc>
          <w:tcPr>
            <w:tcW w:w="1628" w:type="dxa"/>
          </w:tcPr>
          <w:p w14:paraId="281C0E2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可能需要</w:t>
            </w:r>
          </w:p>
        </w:tc>
        <w:tc>
          <w:tcPr>
            <w:tcW w:w="3120" w:type="dxa"/>
          </w:tcPr>
          <w:p w14:paraId="5756BBC3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单个数据安全传输，如一个加密密钥</w:t>
            </w:r>
          </w:p>
        </w:tc>
      </w:tr>
      <w:tr w:rsidR="00926A87" w:rsidRPr="00581DF1" w14:paraId="50C4E75B" w14:textId="77777777">
        <w:tc>
          <w:tcPr>
            <w:tcW w:w="1085" w:type="dxa"/>
          </w:tcPr>
          <w:p w14:paraId="5B373FDE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CBC</w:t>
            </w:r>
          </w:p>
        </w:tc>
        <w:tc>
          <w:tcPr>
            <w:tcW w:w="3527" w:type="dxa"/>
          </w:tcPr>
          <w:p w14:paraId="719A1DB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当前明文先与前一密文 XOR</w:t>
            </w:r>
          </w:p>
        </w:tc>
        <w:tc>
          <w:tcPr>
            <w:tcW w:w="1628" w:type="dxa"/>
          </w:tcPr>
          <w:p w14:paraId="4073995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需要</w:t>
            </w:r>
          </w:p>
        </w:tc>
        <w:tc>
          <w:tcPr>
            <w:tcW w:w="3120" w:type="dxa"/>
          </w:tcPr>
          <w:p w14:paraId="2DCDF1E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面向分组的通用传输、认证</w:t>
            </w:r>
          </w:p>
        </w:tc>
      </w:tr>
      <w:tr w:rsidR="00926A87" w:rsidRPr="00581DF1" w14:paraId="547F55F9" w14:textId="77777777">
        <w:tc>
          <w:tcPr>
            <w:tcW w:w="1085" w:type="dxa"/>
          </w:tcPr>
          <w:p w14:paraId="2CEC64C1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CFB</w:t>
            </w:r>
          </w:p>
        </w:tc>
        <w:tc>
          <w:tcPr>
            <w:tcW w:w="3527" w:type="dxa"/>
          </w:tcPr>
          <w:p w14:paraId="03E1F9AA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前一密文驱动加密器，输出与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oMath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 位明文 XOR</w:t>
            </w:r>
          </w:p>
        </w:tc>
        <w:tc>
          <w:tcPr>
            <w:tcW w:w="1628" w:type="dxa"/>
          </w:tcPr>
          <w:p w14:paraId="0F338F0E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不需要</w:t>
            </w:r>
          </w:p>
        </w:tc>
        <w:tc>
          <w:tcPr>
            <w:tcW w:w="3120" w:type="dxa"/>
          </w:tcPr>
          <w:p w14:paraId="4803CA93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面向数据流的通用传输、认证</w:t>
            </w:r>
          </w:p>
        </w:tc>
      </w:tr>
      <w:tr w:rsidR="00926A87" w:rsidRPr="00581DF1" w14:paraId="32901417" w14:textId="77777777">
        <w:tc>
          <w:tcPr>
            <w:tcW w:w="1085" w:type="dxa"/>
          </w:tcPr>
          <w:p w14:paraId="341212DD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OFB</w:t>
            </w:r>
          </w:p>
        </w:tc>
        <w:tc>
          <w:tcPr>
            <w:tcW w:w="3527" w:type="dxa"/>
          </w:tcPr>
          <w:p w14:paraId="346A8738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前一加密输出反馈，形成密钥流</w:t>
            </w:r>
          </w:p>
        </w:tc>
        <w:tc>
          <w:tcPr>
            <w:tcW w:w="1628" w:type="dxa"/>
          </w:tcPr>
          <w:p w14:paraId="75D24E8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不需要</w:t>
            </w:r>
          </w:p>
        </w:tc>
        <w:tc>
          <w:tcPr>
            <w:tcW w:w="3120" w:type="dxa"/>
          </w:tcPr>
          <w:p w14:paraId="201A7891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噪声信道的数据流传输</w:t>
            </w:r>
          </w:p>
        </w:tc>
      </w:tr>
      <w:tr w:rsidR="00926A87" w:rsidRPr="00581DF1" w14:paraId="2104E7B6" w14:textId="77777777">
        <w:tc>
          <w:tcPr>
            <w:tcW w:w="1085" w:type="dxa"/>
          </w:tcPr>
          <w:p w14:paraId="5C5F7FC9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CTR</w:t>
            </w:r>
          </w:p>
        </w:tc>
        <w:tc>
          <w:tcPr>
            <w:tcW w:w="3527" w:type="dxa"/>
          </w:tcPr>
          <w:p w14:paraId="56B61C28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加密唯一计数器，结果与明文 XOR</w:t>
            </w:r>
          </w:p>
        </w:tc>
        <w:tc>
          <w:tcPr>
            <w:tcW w:w="1628" w:type="dxa"/>
          </w:tcPr>
          <w:p w14:paraId="2363181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不需要</w:t>
            </w:r>
          </w:p>
        </w:tc>
        <w:tc>
          <w:tcPr>
            <w:tcW w:w="3120" w:type="dxa"/>
          </w:tcPr>
          <w:p w14:paraId="2B9F802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面向分组的通用传输、高速需求</w:t>
            </w:r>
          </w:p>
        </w:tc>
      </w:tr>
    </w:tbl>
    <w:p w14:paraId="5439EEC8" w14:textId="77777777" w:rsidR="00926A87" w:rsidRPr="00581DF1" w:rsidRDefault="00000000">
      <w:pPr>
        <w:spacing w:before="24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4D8A5B4D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评价或设计优于 ECB 的工作模式时，教材列出五项标准：额外</w:t>
      </w:r>
      <w:r w:rsidRPr="00581DF1">
        <w:rPr>
          <w:rFonts w:asciiTheme="minorEastAsia" w:hAnsiTheme="minorEastAsia"/>
          <w:b/>
          <w:bCs/>
          <w:sz w:val="21"/>
          <w:szCs w:val="21"/>
        </w:rPr>
        <w:t>开销</w:t>
      </w:r>
      <w:r w:rsidRPr="00581DF1">
        <w:rPr>
          <w:rFonts w:asciiTheme="minorEastAsia" w:hAnsiTheme="minorEastAsia"/>
          <w:sz w:val="21"/>
          <w:szCs w:val="21"/>
        </w:rPr>
        <w:t>、</w:t>
      </w:r>
      <w:r w:rsidRPr="00581DF1">
        <w:rPr>
          <w:rFonts w:asciiTheme="minorEastAsia" w:hAnsiTheme="minorEastAsia"/>
          <w:b/>
          <w:bCs/>
          <w:sz w:val="21"/>
          <w:szCs w:val="21"/>
        </w:rPr>
        <w:t>错误恢复</w:t>
      </w:r>
      <w:r w:rsidRPr="00581DF1">
        <w:rPr>
          <w:rFonts w:asciiTheme="minorEastAsia" w:hAnsiTheme="minorEastAsia"/>
          <w:sz w:val="21"/>
          <w:szCs w:val="21"/>
        </w:rPr>
        <w:t>、</w:t>
      </w:r>
      <w:r w:rsidRPr="00581DF1">
        <w:rPr>
          <w:rFonts w:asciiTheme="minorEastAsia" w:hAnsiTheme="minorEastAsia"/>
          <w:b/>
          <w:bCs/>
          <w:sz w:val="21"/>
          <w:szCs w:val="21"/>
        </w:rPr>
        <w:t>错误传播</w:t>
      </w:r>
      <w:r w:rsidRPr="00581DF1">
        <w:rPr>
          <w:rFonts w:asciiTheme="minorEastAsia" w:hAnsiTheme="minorEastAsia"/>
          <w:sz w:val="21"/>
          <w:szCs w:val="21"/>
        </w:rPr>
        <w:t>、对明文统计性质的</w:t>
      </w:r>
      <w:r w:rsidRPr="00581DF1">
        <w:rPr>
          <w:rFonts w:asciiTheme="minorEastAsia" w:hAnsiTheme="minorEastAsia"/>
          <w:b/>
          <w:bCs/>
          <w:sz w:val="21"/>
          <w:szCs w:val="21"/>
        </w:rPr>
        <w:t>扩散</w:t>
      </w:r>
      <w:r w:rsidRPr="00581DF1">
        <w:rPr>
          <w:rFonts w:asciiTheme="minorEastAsia" w:hAnsiTheme="minorEastAsia"/>
          <w:sz w:val="21"/>
          <w:szCs w:val="21"/>
        </w:rPr>
        <w:t>、以及是否泄露明文信息的</w:t>
      </w:r>
      <w:r w:rsidRPr="00581DF1">
        <w:rPr>
          <w:rFonts w:asciiTheme="minorEastAsia" w:hAnsiTheme="minorEastAsia"/>
          <w:b/>
          <w:bCs/>
          <w:sz w:val="21"/>
          <w:szCs w:val="21"/>
        </w:rPr>
        <w:t>安全性</w:t>
      </w:r>
      <w:r w:rsidRPr="00581DF1">
        <w:rPr>
          <w:rFonts w:asciiTheme="minorEastAsia" w:hAnsiTheme="minorEastAsia"/>
          <w:sz w:val="21"/>
          <w:szCs w:val="21"/>
        </w:rPr>
        <w:t>。</w:t>
      </w:r>
    </w:p>
    <w:p w14:paraId="4FDD8159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7FB80E24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3.2 ECB：电码本模式</w:t>
      </w:r>
    </w:p>
    <w:p w14:paraId="4877C113" w14:textId="58A71566" w:rsidR="00926A87" w:rsidRPr="00581DF1" w:rsidRDefault="00000000" w:rsidP="00411A8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ECB 将消息分为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位分组，逐块独立加密、解密：</w:t>
      </w:r>
    </w:p>
    <w:p w14:paraId="3536CFF8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=E(K,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 xml:space="preserve">),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=D(K,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), j=1,…,N</m:t>
          </m:r>
        </m:oMath>
      </m:oMathPara>
    </w:p>
    <w:p w14:paraId="12D51D4F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14D22CBA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给定密钥时，每个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位明文仅对应一个密文，仿佛可查阅“电码本”。最后一块不足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位时需填充。</w:t>
      </w:r>
    </w:p>
    <w:p w14:paraId="5E0AAAEB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5A4BE0EC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ECB 的最大问题是相同明文分组一定产生相同密文分组。对长的、高度结构化消息，固定字段、重复内容或周期为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位倍数的模式会保留在密文中，攻击者可以利用这些规律实施代换或重排分组攻击。因此它只适合短于一个基本密码分组的消息，例如加密一个密钥。</w:t>
      </w:r>
    </w:p>
    <w:p w14:paraId="610C7BBB" w14:textId="77777777" w:rsidR="00411A81" w:rsidRPr="00581DF1" w:rsidRDefault="00000000" w:rsidP="00411A81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lastRenderedPageBreak/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411A81" w14:paraId="581B7288" w14:textId="77777777" w:rsidTr="00411A81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B5F7515" w14:textId="338900AC" w:rsidR="00411A81" w:rsidRDefault="00411A81" w:rsidP="00411A81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650A689" wp14:editId="22601EFB">
                  <wp:extent cx="3070746" cy="2297899"/>
                  <wp:effectExtent l="0" t="0" r="0" b="7620"/>
                  <wp:docPr id="138306098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7528" cy="230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9E4C9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3.3 CBC：密文分组链接模式</w:t>
      </w:r>
    </w:p>
    <w:p w14:paraId="141E6E64" w14:textId="55415C34" w:rsidR="00926A87" w:rsidRPr="00581DF1" w:rsidRDefault="00000000" w:rsidP="001E5A2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CBC 通过将当前明文和前一密文 XOR 后再加密，避免重复明文映射为重复密文：</w:t>
      </w:r>
    </w:p>
    <w:p w14:paraId="66FDCE1B" w14:textId="47346D6B" w:rsidR="00926A87" w:rsidRPr="00581DF1" w:rsidRDefault="00000000" w:rsidP="001E5A24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=E(K,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IV</m:t>
          </m:r>
          <m:r>
            <w:rPr>
              <w:rFonts w:ascii="Cambria Math" w:hAnsi="Cambria Math"/>
              <w:sz w:val="21"/>
              <w:szCs w:val="21"/>
            </w:rPr>
            <m:t>),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=D(K,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)⊕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IV</m:t>
          </m:r>
        </m:oMath>
      </m:oMathPara>
    </w:p>
    <w:p w14:paraId="31D8DD37" w14:textId="14EFC136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=E(K,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),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=D(K,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 j=2,…,N</m:t>
          </m:r>
        </m:oMath>
      </m:oMathPara>
    </w:p>
    <w:p w14:paraId="67AB6709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359CBF3A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CBC 仍需填充最后一个不完整分组。初始向量 IV 与密文分组等长，收发双方共享；第三方在 IV 生成前不能预测与给定明文关联的 IV，且不能未授权修改 IV。SP 800-38A 推荐用同密钥加密唯一时变值，或用随机数生成器产生随机 IV。</w:t>
      </w:r>
    </w:p>
    <w:p w14:paraId="5960F0AE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1098ABC6" w14:textId="63CD9736" w:rsidR="00926A87" w:rsidRPr="00581DF1" w:rsidRDefault="00000000" w:rsidP="00221ACC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若攻击者修改 IV 的某位，则第一个恢复明文分组的对应位被修改，因为</w:t>
      </w:r>
    </w:p>
    <w:p w14:paraId="4C0280CD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IV</m:t>
          </m:r>
          <m:r>
            <w:rPr>
              <w:rFonts w:ascii="Cambria Math" w:hAnsi="Cambria Math"/>
              <w:sz w:val="21"/>
              <w:szCs w:val="21"/>
            </w:rPr>
            <m:t>⊕D(K,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17142951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7B81D107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所以 IV 的不可预测性和完整性均重要。CBC 的链接使它适合长度大于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的消息，教材还指出其可用于认证。</w:t>
      </w:r>
    </w:p>
    <w:p w14:paraId="5F154BC1" w14:textId="77777777" w:rsidR="00221ACC" w:rsidRPr="00581DF1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221ACC" w14:paraId="0B003E40" w14:textId="77777777" w:rsidTr="00221ACC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6086466" w14:textId="3FD93CDF" w:rsidR="00221ACC" w:rsidRDefault="00221ACC" w:rsidP="00221ACC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08159E" wp14:editId="70EB0334">
                  <wp:extent cx="3254991" cy="2521546"/>
                  <wp:effectExtent l="0" t="0" r="3175" b="0"/>
                  <wp:docPr id="172668637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025" cy="2527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0B9D3B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3.4 CFB：密码反馈模式</w:t>
      </w:r>
    </w:p>
    <w:p w14:paraId="149BC690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CFB 可把分组密码转换为流密码，明文被划分为 </w:t>
      </w:r>
      <m:oMath>
        <m:r>
          <w:rPr>
            <w:rFonts w:ascii="Cambria Math" w:hAnsi="Cambria Math"/>
            <w:sz w:val="21"/>
            <w:szCs w:val="21"/>
          </w:rPr>
          <m:t>s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位单元，通常 </w:t>
      </w:r>
      <m:oMath>
        <m:r>
          <w:rPr>
            <w:rFonts w:ascii="Cambria Math" w:hAnsi="Cambria Math"/>
            <w:sz w:val="21"/>
            <w:szCs w:val="21"/>
          </w:rPr>
          <m:t>s=8</m:t>
        </m:r>
      </m:oMath>
      <w:r w:rsidRPr="00581DF1">
        <w:rPr>
          <w:rFonts w:asciiTheme="minorEastAsia" w:hAnsiTheme="minorEastAsia"/>
          <w:sz w:val="21"/>
          <w:szCs w:val="21"/>
        </w:rPr>
        <w:t xml:space="preserve">。寄存器初值为 IV；加密器输出的最高 </w:t>
      </w:r>
      <m:oMath>
        <m:r>
          <w:rPr>
            <w:rFonts w:ascii="Cambria Math" w:hAnsi="Cambria Math"/>
            <w:sz w:val="21"/>
            <w:szCs w:val="21"/>
          </w:rPr>
          <m:t>s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位与当前明文单元 XOR 得到密文，然后该密文单元反馈到寄存器。</w:t>
      </w:r>
    </w:p>
    <w:p w14:paraId="371D4BF8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419A5A1D" w14:textId="69F8F874" w:rsidR="00926A87" w:rsidRPr="00581DF1" w:rsidRDefault="00000000" w:rsidP="00221ACC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设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MSB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s</m:t>
            </m:r>
          </m:sub>
        </m:sSub>
        <m:r>
          <w:rPr>
            <w:rFonts w:ascii="Cambria Math" w:hAnsi="Cambria Math"/>
            <w:sz w:val="21"/>
            <w:szCs w:val="21"/>
          </w:rPr>
          <m:t>(X)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表示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的最高 </w:t>
      </w:r>
      <m:oMath>
        <m:r>
          <w:rPr>
            <w:rFonts w:ascii="Cambria Math" w:hAnsi="Cambria Math"/>
            <w:sz w:val="21"/>
            <w:szCs w:val="21"/>
          </w:rPr>
          <m:t>s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位，则第一单元满足</w:t>
      </w:r>
    </w:p>
    <w:p w14:paraId="180D63B5" w14:textId="7F8AF572" w:rsidR="00926A87" w:rsidRPr="00581DF1" w:rsidRDefault="00000000" w:rsidP="00221ACC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MSB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[E(K,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IV</m:t>
          </m:r>
          <m:r>
            <w:rPr>
              <w:rFonts w:ascii="Cambria Math" w:hAnsi="Cambria Math"/>
              <w:sz w:val="21"/>
              <w:szCs w:val="21"/>
            </w:rPr>
            <m:t>)]</m:t>
          </m:r>
        </m:oMath>
      </m:oMathPara>
    </w:p>
    <w:p w14:paraId="54B6DF35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MSB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[E(K,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IV</m:t>
          </m:r>
          <m:r>
            <w:rPr>
              <w:rFonts w:ascii="Cambria Math" w:hAnsi="Cambria Math"/>
              <w:sz w:val="21"/>
              <w:szCs w:val="21"/>
            </w:rPr>
            <m:t>)]</m:t>
          </m:r>
        </m:oMath>
      </m:oMathPara>
    </w:p>
    <w:p w14:paraId="069DE6E6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59D5FF87" w14:textId="73F1A8B5" w:rsidR="00926A87" w:rsidRPr="00581DF1" w:rsidRDefault="00000000" w:rsidP="00221ACC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一般地，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IV</m:t>
        </m:r>
      </m:oMath>
      <w:r w:rsidRPr="00581DF1">
        <w:rPr>
          <w:rFonts w:asciiTheme="minorEastAsia" w:hAnsiTheme="minorEastAsia"/>
          <w:sz w:val="21"/>
          <w:szCs w:val="21"/>
        </w:rPr>
        <w:t>，并有</w:t>
      </w:r>
    </w:p>
    <w:p w14:paraId="260BAF6E" w14:textId="39DA0FDE" w:rsidR="00926A87" w:rsidRPr="00581DF1" w:rsidRDefault="00000000" w:rsidP="00221ACC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LSB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b-s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)∥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=E(K,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2955E342" w14:textId="71789431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MSB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),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MSB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5EFC32B7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0C328B39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CFB 的解密也使用</w:t>
      </w:r>
      <w:r w:rsidRPr="00581DF1">
        <w:rPr>
          <w:rFonts w:asciiTheme="minorEastAsia" w:hAnsiTheme="minorEastAsia"/>
          <w:b/>
          <w:bCs/>
          <w:sz w:val="21"/>
          <w:szCs w:val="21"/>
        </w:rPr>
        <w:t>加密函数</w:t>
      </w:r>
      <w:r w:rsidRPr="00581DF1">
        <w:rPr>
          <w:rFonts w:asciiTheme="minorEastAsia" w:hAnsiTheme="minorEastAsia"/>
          <w:sz w:val="21"/>
          <w:szCs w:val="21"/>
        </w:rPr>
        <w:t>而非解密函数。它虽可视作流密码，但其与明文 XOR 的位流会随前面密文变化，因而取决于已加密的消息；这不同于典型流密码。CFB 加密无法并行处理后续密码函数操作；若解密输入块已由 IV 和密文构建，CFB 解密的密码操作可以并行。</w:t>
      </w:r>
    </w:p>
    <w:p w14:paraId="1E21A262" w14:textId="77777777" w:rsidR="00365FE8" w:rsidRPr="00581DF1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365FE8" w14:paraId="111BB8BB" w14:textId="77777777" w:rsidTr="00365FE8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20FBEE8" w14:textId="6A513501" w:rsidR="00365FE8" w:rsidRDefault="00365FE8" w:rsidP="00365FE8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28B3CE" wp14:editId="222FE010">
                  <wp:extent cx="2947916" cy="3293914"/>
                  <wp:effectExtent l="0" t="0" r="5080" b="1905"/>
                  <wp:docPr id="110940245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936" cy="3297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1051E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3.5 OFB：输出反馈模式</w:t>
      </w:r>
    </w:p>
    <w:p w14:paraId="24B617B5" w14:textId="0A127EEB" w:rsidR="00926A87" w:rsidRPr="00581DF1" w:rsidRDefault="00000000" w:rsidP="002F064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OFB 与 CFB 相似，但反馈的是</w:t>
      </w:r>
      <w:r w:rsidRPr="00581DF1">
        <w:rPr>
          <w:rFonts w:asciiTheme="minorEastAsia" w:hAnsiTheme="minorEastAsia"/>
          <w:b/>
          <w:bCs/>
          <w:sz w:val="21"/>
          <w:szCs w:val="21"/>
        </w:rPr>
        <w:t>加密函数的输出</w:t>
      </w:r>
      <w:r w:rsidRPr="00581DF1">
        <w:rPr>
          <w:rFonts w:asciiTheme="minorEastAsia" w:hAnsiTheme="minorEastAsia"/>
          <w:sz w:val="21"/>
          <w:szCs w:val="21"/>
        </w:rPr>
        <w:t>而非 XOR 的密文输出；并且每次处理完整分组。它形成仅由密钥和时变初始值决定的密钥流：</w:t>
      </w:r>
    </w:p>
    <w:p w14:paraId="78B83186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⊕E(K,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4D50D96A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31B19B8A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其中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O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j-1</m:t>
            </m:r>
          </m:sub>
        </m:sSub>
        <m:r>
          <w:rPr>
            <w:rFonts w:ascii="Cambria Math" w:hAnsi="Cambria Math"/>
            <w:sz w:val="21"/>
            <w:szCs w:val="21"/>
          </w:rPr>
          <m:t>=E(K,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O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j-2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。对最后不足一个分组的 </w:t>
      </w:r>
      <m:oMath>
        <m:r>
          <w:rPr>
            <w:rFonts w:ascii="Cambria Math" w:hAnsi="Cambria Math"/>
            <w:sz w:val="21"/>
            <w:szCs w:val="21"/>
          </w:rPr>
          <m:t>u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位，使用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O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N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的最高 </w:t>
      </w:r>
      <m:oMath>
        <m:r>
          <w:rPr>
            <w:rFonts w:ascii="Cambria Math" w:hAnsi="Cambria Math"/>
            <w:sz w:val="21"/>
            <w:szCs w:val="21"/>
          </w:rPr>
          <m:t>u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位，不需要填充。</w:t>
      </w:r>
    </w:p>
    <w:p w14:paraId="05A8C36B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365DA1E2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OFB 的 IV 必须对每次加密唯一。给定同一密钥与 IV，输出流固定且与明文无关；重复使用将泄露对应输出流，从而破坏消息保密性。</w:t>
      </w:r>
    </w:p>
    <w:p w14:paraId="411835EA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58D9318A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传输中若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出错，只影响恢复的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>，不会传播到后续明文，这是 OFB 对噪声信道的优点。但攻击者翻转密文某一位，也会翻转恢复明文对应位，所以它抵抗消息流修改攻击的能力弱于 CFB。OFB 是典型流密码结构：独立生成的位流再与明文 XOR。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2F0640" w14:paraId="0282C6CF" w14:textId="77777777" w:rsidTr="002F0640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673C613" w14:textId="267B82BC" w:rsidR="002F0640" w:rsidRDefault="002F0640" w:rsidP="002F0640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3EF404" wp14:editId="05D3294F">
                  <wp:extent cx="3270813" cy="1528549"/>
                  <wp:effectExtent l="0" t="0" r="6350" b="0"/>
                  <wp:docPr id="154476205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8627" cy="1532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559E7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3.6 CTR：计数器模式</w:t>
      </w:r>
    </w:p>
    <w:p w14:paraId="0A8EAC2E" w14:textId="638F5947" w:rsidR="00926A87" w:rsidRPr="00581DF1" w:rsidRDefault="00000000" w:rsidP="009F5592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CTR 对每个明文分组加密一个计数器值，再 XOR：</w:t>
      </w:r>
    </w:p>
    <w:p w14:paraId="1E701371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⊕E(K,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 xml:space="preserve">),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⊕E(K,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4CA68867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2BCBB3A8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计数器与分组等长，通常从初值开始，对每个后续分组模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b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加 1。唯一安全要求是：加密不同明文分组时，计数器值不得相同。所有消息的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都必须唯一；若重用，已知任一关联明文可导出 </w:t>
      </w:r>
      <m:oMath>
        <m:r>
          <w:rPr>
            <w:rFonts w:ascii="Cambria Math" w:hAnsi="Cambria Math"/>
            <w:sz w:val="21"/>
            <w:szCs w:val="21"/>
          </w:rPr>
          <m:t>E(K,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581DF1">
        <w:rPr>
          <w:rFonts w:asciiTheme="minorEastAsia" w:hAnsiTheme="minorEastAsia"/>
          <w:sz w:val="21"/>
          <w:szCs w:val="21"/>
        </w:rPr>
        <w:t>，进而恢复所有使用该计数器值加密的明文。</w:t>
      </w:r>
    </w:p>
    <w:p w14:paraId="40B7FE83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6E934860" w14:textId="2E0980F3" w:rsidR="00926A87" w:rsidRPr="00581DF1" w:rsidRDefault="00000000" w:rsidP="001F2FB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CTR 无需填充。教材列出其优点：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8"/>
        <w:gridCol w:w="4820"/>
      </w:tblGrid>
      <w:tr w:rsidR="00926A87" w:rsidRPr="00581DF1" w14:paraId="04A1DC82" w14:textId="77777777">
        <w:trPr>
          <w:tblHeader/>
        </w:trPr>
        <w:tc>
          <w:tcPr>
            <w:tcW w:w="3265" w:type="dxa"/>
          </w:tcPr>
          <w:p w14:paraId="234C7F6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优点</w:t>
            </w:r>
          </w:p>
        </w:tc>
        <w:tc>
          <w:tcPr>
            <w:tcW w:w="6095" w:type="dxa"/>
          </w:tcPr>
          <w:p w14:paraId="48BFE43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原因</w:t>
            </w:r>
          </w:p>
        </w:tc>
      </w:tr>
      <w:tr w:rsidR="00926A87" w:rsidRPr="00581DF1" w14:paraId="4543787C" w14:textId="77777777">
        <w:tc>
          <w:tcPr>
            <w:tcW w:w="3265" w:type="dxa"/>
          </w:tcPr>
          <w:p w14:paraId="50951D4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硬件、软件效率</w:t>
            </w:r>
          </w:p>
        </w:tc>
        <w:tc>
          <w:tcPr>
            <w:tcW w:w="6095" w:type="dxa"/>
          </w:tcPr>
          <w:p w14:paraId="038FF8AB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各计数器加密相互独立，可并行、流水线和 SIMD。</w:t>
            </w:r>
          </w:p>
        </w:tc>
      </w:tr>
      <w:tr w:rsidR="00926A87" w:rsidRPr="00581DF1" w14:paraId="6EEEC076" w14:textId="77777777">
        <w:tc>
          <w:tcPr>
            <w:tcW w:w="3265" w:type="dxa"/>
          </w:tcPr>
          <w:p w14:paraId="4872080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预处理</w:t>
            </w:r>
          </w:p>
        </w:tc>
        <w:tc>
          <w:tcPr>
            <w:tcW w:w="6095" w:type="dxa"/>
          </w:tcPr>
          <w:p w14:paraId="59AA223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基本加密不依赖明文或密文，可预先计算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E(K,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oMath>
            <w:r w:rsidRPr="00581DF1">
              <w:rPr>
                <w:rFonts w:asciiTheme="minorEastAsia" w:hAnsiTheme="minorEastAsia"/>
                <w:sz w:val="21"/>
                <w:szCs w:val="21"/>
              </w:rPr>
              <w:t>。</w:t>
            </w:r>
          </w:p>
        </w:tc>
      </w:tr>
      <w:tr w:rsidR="00926A87" w:rsidRPr="00581DF1" w14:paraId="3B45D4A0" w14:textId="77777777">
        <w:tc>
          <w:tcPr>
            <w:tcW w:w="3265" w:type="dxa"/>
          </w:tcPr>
          <w:p w14:paraId="585A6913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随机存取</w:t>
            </w:r>
          </w:p>
        </w:tc>
        <w:tc>
          <w:tcPr>
            <w:tcW w:w="6095" w:type="dxa"/>
          </w:tcPr>
          <w:p w14:paraId="1F7DE1A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可直接处理第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oMath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 个分组，不需要处理前面的分组。</w:t>
            </w:r>
          </w:p>
        </w:tc>
      </w:tr>
      <w:tr w:rsidR="00926A87" w:rsidRPr="00581DF1" w14:paraId="098DEF87" w14:textId="77777777">
        <w:tc>
          <w:tcPr>
            <w:tcW w:w="3265" w:type="dxa"/>
          </w:tcPr>
          <w:p w14:paraId="00FAD0A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简单</w:t>
            </w:r>
          </w:p>
        </w:tc>
        <w:tc>
          <w:tcPr>
            <w:tcW w:w="6095" w:type="dxa"/>
          </w:tcPr>
          <w:p w14:paraId="31223D1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只需实现加密算法，不需实现解密或解密密钥调度。</w:t>
            </w:r>
          </w:p>
        </w:tc>
      </w:tr>
      <w:tr w:rsidR="00926A87" w:rsidRPr="00581DF1" w14:paraId="65242A0E" w14:textId="77777777">
        <w:tc>
          <w:tcPr>
            <w:tcW w:w="3265" w:type="dxa"/>
          </w:tcPr>
          <w:p w14:paraId="252AC30F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可证明安全性</w:t>
            </w:r>
          </w:p>
        </w:tc>
        <w:tc>
          <w:tcPr>
            <w:tcW w:w="6095" w:type="dxa"/>
          </w:tcPr>
          <w:p w14:paraId="7489CA56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教材指出其至少与本章其他模式一样安全。</w:t>
            </w:r>
          </w:p>
        </w:tc>
      </w:tr>
    </w:tbl>
    <w:p w14:paraId="2FE235DE" w14:textId="77777777" w:rsidR="00C93389" w:rsidRPr="00581DF1" w:rsidRDefault="00000000">
      <w:pPr>
        <w:spacing w:before="24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93389" w14:paraId="68E3C35D" w14:textId="77777777" w:rsidTr="00C93389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78DA4707" w14:textId="5A38921B" w:rsidR="00C93389" w:rsidRDefault="00C93389" w:rsidP="00C93389">
            <w:pPr>
              <w:spacing w:before="24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994E50" wp14:editId="7A9663C6">
                  <wp:extent cx="2954740" cy="2987315"/>
                  <wp:effectExtent l="0" t="0" r="0" b="3810"/>
                  <wp:docPr id="106927705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4128" cy="2996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73960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3.7 模式比较要点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93389" w14:paraId="579A736D" w14:textId="77777777" w:rsidTr="00C93389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D963C78" w14:textId="08C0CAAC" w:rsidR="00C93389" w:rsidRDefault="00C93389" w:rsidP="00C93389">
            <w:pPr>
              <w:spacing w:after="12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230267D" wp14:editId="6CD52D22">
                  <wp:extent cx="3089151" cy="3186753"/>
                  <wp:effectExtent l="0" t="0" r="0" b="0"/>
                  <wp:docPr id="199535958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214" cy="319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5EF7E" w14:textId="727CEEFD" w:rsidR="00926A87" w:rsidRPr="00581DF1" w:rsidRDefault="00000000" w:rsidP="000F77D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除 ECB 外，本章 NIST 批准的工作模式均包含反馈。CBC、CFB 的输出与前面密文相关，存在顺序依赖；OFB、CTR 的输出独立于明文和密文，因而自然适合作为每次加密完整明文块的流密码候选。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29"/>
        <w:gridCol w:w="762"/>
        <w:gridCol w:w="1458"/>
        <w:gridCol w:w="1180"/>
        <w:gridCol w:w="1249"/>
        <w:gridCol w:w="1250"/>
      </w:tblGrid>
      <w:tr w:rsidR="00926A87" w:rsidRPr="00581DF1" w14:paraId="1F02E224" w14:textId="77777777">
        <w:trPr>
          <w:tblHeader/>
        </w:trPr>
        <w:tc>
          <w:tcPr>
            <w:tcW w:w="1946" w:type="dxa"/>
          </w:tcPr>
          <w:p w14:paraId="0A51949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lastRenderedPageBreak/>
              <w:t>性质</w:t>
            </w:r>
          </w:p>
        </w:tc>
        <w:tc>
          <w:tcPr>
            <w:tcW w:w="927" w:type="dxa"/>
          </w:tcPr>
          <w:p w14:paraId="76BEE45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ECB</w:t>
            </w:r>
          </w:p>
        </w:tc>
        <w:tc>
          <w:tcPr>
            <w:tcW w:w="1853" w:type="dxa"/>
          </w:tcPr>
          <w:p w14:paraId="144B8666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CBC</w:t>
            </w:r>
          </w:p>
        </w:tc>
        <w:tc>
          <w:tcPr>
            <w:tcW w:w="1483" w:type="dxa"/>
          </w:tcPr>
          <w:p w14:paraId="306FBCF7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CFB</w:t>
            </w:r>
          </w:p>
        </w:tc>
        <w:tc>
          <w:tcPr>
            <w:tcW w:w="1575" w:type="dxa"/>
          </w:tcPr>
          <w:p w14:paraId="49B11543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OFB</w:t>
            </w:r>
          </w:p>
        </w:tc>
        <w:tc>
          <w:tcPr>
            <w:tcW w:w="1576" w:type="dxa"/>
          </w:tcPr>
          <w:p w14:paraId="29899AC3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CTR</w:t>
            </w:r>
          </w:p>
        </w:tc>
      </w:tr>
      <w:tr w:rsidR="00926A87" w:rsidRPr="00581DF1" w14:paraId="5D69BBFF" w14:textId="77777777">
        <w:tc>
          <w:tcPr>
            <w:tcW w:w="1946" w:type="dxa"/>
          </w:tcPr>
          <w:p w14:paraId="4CAA348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相同明文块是否必得相同密文</w:t>
            </w:r>
          </w:p>
        </w:tc>
        <w:tc>
          <w:tcPr>
            <w:tcW w:w="927" w:type="dxa"/>
          </w:tcPr>
          <w:p w14:paraId="38ACFFE5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  <w:tc>
          <w:tcPr>
            <w:tcW w:w="1853" w:type="dxa"/>
          </w:tcPr>
          <w:p w14:paraId="5FE1D586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否（IV 与链正确时）</w:t>
            </w:r>
          </w:p>
        </w:tc>
        <w:tc>
          <w:tcPr>
            <w:tcW w:w="1483" w:type="dxa"/>
          </w:tcPr>
          <w:p w14:paraId="75C94DA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  <w:tc>
          <w:tcPr>
            <w:tcW w:w="1575" w:type="dxa"/>
          </w:tcPr>
          <w:p w14:paraId="46B49639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  <w:tc>
          <w:tcPr>
            <w:tcW w:w="1576" w:type="dxa"/>
          </w:tcPr>
          <w:p w14:paraId="18F3D61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否（计数器唯一时）</w:t>
            </w:r>
          </w:p>
        </w:tc>
      </w:tr>
      <w:tr w:rsidR="00926A87" w:rsidRPr="00581DF1" w14:paraId="01A9E72E" w14:textId="77777777">
        <w:tc>
          <w:tcPr>
            <w:tcW w:w="1946" w:type="dxa"/>
          </w:tcPr>
          <w:p w14:paraId="3C5E1EF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需要填充</w:t>
            </w:r>
          </w:p>
        </w:tc>
        <w:tc>
          <w:tcPr>
            <w:tcW w:w="927" w:type="dxa"/>
          </w:tcPr>
          <w:p w14:paraId="01D606AE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  <w:tc>
          <w:tcPr>
            <w:tcW w:w="1853" w:type="dxa"/>
          </w:tcPr>
          <w:p w14:paraId="0ACAEFBF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  <w:tc>
          <w:tcPr>
            <w:tcW w:w="1483" w:type="dxa"/>
          </w:tcPr>
          <w:p w14:paraId="265C1E26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  <w:tc>
          <w:tcPr>
            <w:tcW w:w="1575" w:type="dxa"/>
          </w:tcPr>
          <w:p w14:paraId="36FD6546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  <w:tc>
          <w:tcPr>
            <w:tcW w:w="1576" w:type="dxa"/>
          </w:tcPr>
          <w:p w14:paraId="3222F1FB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</w:tr>
      <w:tr w:rsidR="00926A87" w:rsidRPr="00581DF1" w14:paraId="0A9B3726" w14:textId="77777777">
        <w:tc>
          <w:tcPr>
            <w:tcW w:w="1946" w:type="dxa"/>
          </w:tcPr>
          <w:p w14:paraId="6E167DA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可直接并行加密</w:t>
            </w:r>
          </w:p>
        </w:tc>
        <w:tc>
          <w:tcPr>
            <w:tcW w:w="927" w:type="dxa"/>
          </w:tcPr>
          <w:p w14:paraId="6FDEE3AE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  <w:tc>
          <w:tcPr>
            <w:tcW w:w="1853" w:type="dxa"/>
          </w:tcPr>
          <w:p w14:paraId="54D16D31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  <w:tc>
          <w:tcPr>
            <w:tcW w:w="1483" w:type="dxa"/>
          </w:tcPr>
          <w:p w14:paraId="0156C8B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  <w:tc>
          <w:tcPr>
            <w:tcW w:w="1575" w:type="dxa"/>
          </w:tcPr>
          <w:p w14:paraId="795E0A9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是，密钥流可预生成</w:t>
            </w:r>
          </w:p>
        </w:tc>
        <w:tc>
          <w:tcPr>
            <w:tcW w:w="1576" w:type="dxa"/>
          </w:tcPr>
          <w:p w14:paraId="27C9FA7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</w:tr>
      <w:tr w:rsidR="00926A87" w:rsidRPr="00581DF1" w14:paraId="56DD9464" w14:textId="77777777">
        <w:tc>
          <w:tcPr>
            <w:tcW w:w="1946" w:type="dxa"/>
          </w:tcPr>
          <w:p w14:paraId="7F9F66F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密文错误影响</w:t>
            </w:r>
          </w:p>
        </w:tc>
        <w:tc>
          <w:tcPr>
            <w:tcW w:w="927" w:type="dxa"/>
          </w:tcPr>
          <w:p w14:paraId="213D505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局部块</w:t>
            </w:r>
          </w:p>
        </w:tc>
        <w:tc>
          <w:tcPr>
            <w:tcW w:w="1853" w:type="dxa"/>
          </w:tcPr>
          <w:p w14:paraId="483F1DC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当前块及链接影响</w:t>
            </w:r>
          </w:p>
        </w:tc>
        <w:tc>
          <w:tcPr>
            <w:tcW w:w="1483" w:type="dxa"/>
          </w:tcPr>
          <w:p w14:paraId="38651EED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反馈导致后续影响</w:t>
            </w:r>
          </w:p>
        </w:tc>
        <w:tc>
          <w:tcPr>
            <w:tcW w:w="1575" w:type="dxa"/>
          </w:tcPr>
          <w:p w14:paraId="1A602B37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只影响对应位</w:t>
            </w:r>
          </w:p>
        </w:tc>
        <w:tc>
          <w:tcPr>
            <w:tcW w:w="1576" w:type="dxa"/>
          </w:tcPr>
          <w:p w14:paraId="76668A89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只影响对应位</w:t>
            </w:r>
          </w:p>
        </w:tc>
      </w:tr>
      <w:tr w:rsidR="00926A87" w:rsidRPr="00581DF1" w14:paraId="48852C22" w14:textId="77777777">
        <w:tc>
          <w:tcPr>
            <w:tcW w:w="1946" w:type="dxa"/>
          </w:tcPr>
          <w:p w14:paraId="0D92AC7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IV / 时变值要求</w:t>
            </w:r>
          </w:p>
        </w:tc>
        <w:tc>
          <w:tcPr>
            <w:tcW w:w="927" w:type="dxa"/>
          </w:tcPr>
          <w:p w14:paraId="4EEE95BD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无</w:t>
            </w:r>
          </w:p>
        </w:tc>
        <w:tc>
          <w:tcPr>
            <w:tcW w:w="1853" w:type="dxa"/>
          </w:tcPr>
          <w:p w14:paraId="31F344F5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不可预测且不可未授权修改</w:t>
            </w:r>
          </w:p>
        </w:tc>
        <w:tc>
          <w:tcPr>
            <w:tcW w:w="1483" w:type="dxa"/>
          </w:tcPr>
          <w:p w14:paraId="5CA947EA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初值</w:t>
            </w:r>
          </w:p>
        </w:tc>
        <w:tc>
          <w:tcPr>
            <w:tcW w:w="1575" w:type="dxa"/>
          </w:tcPr>
          <w:p w14:paraId="6538BED6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每次唯一</w:t>
            </w:r>
          </w:p>
        </w:tc>
        <w:tc>
          <w:tcPr>
            <w:tcW w:w="1576" w:type="dxa"/>
          </w:tcPr>
          <w:p w14:paraId="4CFE07F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所有计数器值唯一</w:t>
            </w:r>
          </w:p>
        </w:tc>
      </w:tr>
    </w:tbl>
    <w:p w14:paraId="1D55AB39" w14:textId="77777777" w:rsidR="000F77DB" w:rsidRDefault="000F77DB">
      <w:pPr>
        <w:pStyle w:val="2"/>
        <w:spacing w:after="200"/>
        <w:rPr>
          <w:rFonts w:asciiTheme="minorEastAsia" w:hAnsiTheme="minorEastAsia"/>
          <w:sz w:val="28"/>
          <w:szCs w:val="28"/>
        </w:rPr>
      </w:pPr>
    </w:p>
    <w:p w14:paraId="2FD00824" w14:textId="71CE95CC" w:rsidR="00926A87" w:rsidRPr="00581DF1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581DF1">
        <w:rPr>
          <w:rFonts w:asciiTheme="minorEastAsia" w:hAnsiTheme="minorEastAsia"/>
          <w:sz w:val="28"/>
          <w:szCs w:val="28"/>
        </w:rPr>
        <w:t>4. 学习目标 4：简要介绍 XTS-AES 工作模式</w:t>
      </w:r>
    </w:p>
    <w:p w14:paraId="5AD507AC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4.1 可调整分组密码</w:t>
      </w:r>
    </w:p>
    <w:p w14:paraId="39942CF9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XTS-AES 是 NIST 于 2010 年批准、并由 IEEE Std 1619-2007 定义的面向扇区设备存储数据的模式。它基于可调整分组密码：输入明文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581DF1">
        <w:rPr>
          <w:rFonts w:asciiTheme="minorEastAsia" w:hAnsiTheme="minorEastAsia"/>
          <w:sz w:val="21"/>
          <w:szCs w:val="21"/>
        </w:rPr>
        <w:t xml:space="preserve">、密钥 </w:t>
      </w:r>
      <m:oMath>
        <m:r>
          <w:rPr>
            <w:rFonts w:ascii="Cambria Math" w:hAnsi="Cambria Math"/>
            <w:sz w:val="21"/>
            <w:szCs w:val="21"/>
          </w:rPr>
          <m:t>K</m:t>
        </m:r>
      </m:oMath>
      <w:r w:rsidRPr="00581DF1">
        <w:rPr>
          <w:rFonts w:asciiTheme="minorEastAsia" w:hAnsiTheme="minorEastAsia"/>
          <w:sz w:val="21"/>
          <w:szCs w:val="21"/>
        </w:rPr>
        <w:t xml:space="preserve">、调整值 </w:t>
      </w:r>
      <m:oMath>
        <m:r>
          <w:rPr>
            <w:rFonts w:ascii="Cambria Math" w:hAnsi="Cambria Math"/>
            <w:sz w:val="21"/>
            <w:szCs w:val="21"/>
          </w:rPr>
          <m:t>T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，输出 </w:t>
      </w:r>
      <m:oMath>
        <m:r>
          <w:rPr>
            <w:rFonts w:ascii="Cambria Math" w:hAnsi="Cambria Math"/>
            <w:sz w:val="21"/>
            <w:szCs w:val="21"/>
          </w:rPr>
          <m:t>C=E(K,T,P)</m:t>
        </m:r>
      </m:oMath>
      <w:r w:rsidRPr="00581DF1">
        <w:rPr>
          <w:rFonts w:asciiTheme="minorEastAsia" w:hAnsiTheme="minorEastAsia"/>
          <w:sz w:val="21"/>
          <w:szCs w:val="21"/>
        </w:rPr>
        <w:t>。</w:t>
      </w:r>
      <w:r w:rsidRPr="00581DF1">
        <w:rPr>
          <w:rFonts w:asciiTheme="minorEastAsia" w:hAnsiTheme="minorEastAsia"/>
          <w:b/>
          <w:bCs/>
          <w:sz w:val="21"/>
          <w:szCs w:val="21"/>
        </w:rPr>
        <w:t>调整值不需保密，却提供易变性，使相同明文、相同密钥在不同调整值下产生不同输出</w:t>
      </w:r>
      <w:r w:rsidRPr="00581DF1">
        <w:rPr>
          <w:rFonts w:asciiTheme="minorEastAsia" w:hAnsiTheme="minorEastAsia"/>
          <w:sz w:val="21"/>
          <w:szCs w:val="21"/>
        </w:rPr>
        <w:t>。</w:t>
      </w:r>
    </w:p>
    <w:p w14:paraId="048E1DFC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19E2D0AF" w14:textId="63BFC6EF" w:rsidR="00926A87" w:rsidRPr="00581DF1" w:rsidRDefault="00000000" w:rsidP="00A4652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一种基本构造为</w:t>
      </w:r>
    </w:p>
    <w:p w14:paraId="2D6C9494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C=H(T)⊕E(K,H(T)⊕P)</m:t>
          </m:r>
        </m:oMath>
      </m:oMathPara>
    </w:p>
    <w:p w14:paraId="398CC4C9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344F3486" w14:textId="55F301E0" w:rsidR="00926A87" w:rsidRPr="00581DF1" w:rsidRDefault="00000000" w:rsidP="00A4652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其中 </w:t>
      </w:r>
      <m:oMath>
        <m:r>
          <w:rPr>
            <w:rFonts w:ascii="Cambria Math" w:hAnsi="Cambria Math"/>
            <w:sz w:val="21"/>
            <w:szCs w:val="21"/>
          </w:rPr>
          <m:t>H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是哈希函数。对称地，解密为</w:t>
      </w:r>
    </w:p>
    <w:p w14:paraId="5D9ECB2D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P=H(T)⊕D(K,H(T)⊕C)</m:t>
          </m:r>
        </m:oMath>
      </m:oMathPara>
    </w:p>
    <w:p w14:paraId="2FE556AA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0C3A7F05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这相当于在 ECB 周围加入每块不同的调整值，克服 ECB 的主要弱点。</w:t>
      </w:r>
    </w:p>
    <w:p w14:paraId="0561C95C" w14:textId="77777777" w:rsidR="00A4652A" w:rsidRPr="00581DF1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A4652A" w14:paraId="225E12B4" w14:textId="77777777" w:rsidTr="00A4652A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1B04544" w14:textId="1EBB9C49" w:rsidR="00A4652A" w:rsidRDefault="00A4652A" w:rsidP="00A4652A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9B5F9A" wp14:editId="279D0FB7">
                  <wp:extent cx="3330054" cy="1965885"/>
                  <wp:effectExtent l="0" t="0" r="3810" b="0"/>
                  <wp:docPr id="174430737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093" cy="1972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89181A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4.2 存储加密的特殊要求</w:t>
      </w:r>
    </w:p>
    <w:p w14:paraId="483A69E2" w14:textId="49580B39" w:rsidR="00926A87" w:rsidRPr="00581DF1" w:rsidRDefault="00000000" w:rsidP="00A4652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P1619 的威胁模型允许攻击者任意获得密文。它要求：</w:t>
      </w:r>
    </w:p>
    <w:p w14:paraId="03FCD108" w14:textId="77777777" w:rsidR="00926A87" w:rsidRPr="00581DF1" w:rsidRDefault="00000000" w:rsidP="00A4652A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1. 密文大小和存储布局不改变；</w:t>
      </w:r>
    </w:p>
    <w:p w14:paraId="14EBCFCA" w14:textId="77777777" w:rsidR="00926A87" w:rsidRPr="00581DF1" w:rsidRDefault="00000000" w:rsidP="00A4652A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2. 定长分组独立访问，授权用户可任意顺序访问；</w:t>
      </w:r>
    </w:p>
    <w:p w14:paraId="358F2E7B" w14:textId="77777777" w:rsidR="00926A87" w:rsidRPr="00581DF1" w:rsidRDefault="00000000" w:rsidP="00A4652A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3. 除最后可能不完整的两个分组外，按 16 字节独立加密；</w:t>
      </w:r>
    </w:p>
    <w:p w14:paraId="50F70411" w14:textId="77777777" w:rsidR="00926A87" w:rsidRPr="00581DF1" w:rsidRDefault="00000000" w:rsidP="00A4652A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4. 除数据位置外不使用额外元数据；</w:t>
      </w:r>
    </w:p>
    <w:p w14:paraId="2F63E2C8" w14:textId="77777777" w:rsidR="00926A87" w:rsidRPr="00581DF1" w:rsidRDefault="00000000" w:rsidP="00A4652A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5. </w:t>
      </w:r>
      <w:r w:rsidRPr="00581DF1">
        <w:rPr>
          <w:rFonts w:asciiTheme="minorEastAsia" w:hAnsiTheme="minorEastAsia"/>
          <w:b/>
          <w:bCs/>
          <w:sz w:val="21"/>
          <w:szCs w:val="21"/>
        </w:rPr>
        <w:t>不同位置的相同明文产生不同密文，同一位置重复写相同明文产生相同密文</w:t>
      </w:r>
      <w:r w:rsidRPr="00581DF1">
        <w:rPr>
          <w:rFonts w:asciiTheme="minorEastAsia" w:hAnsiTheme="minorEastAsia"/>
          <w:sz w:val="21"/>
          <w:szCs w:val="21"/>
        </w:rPr>
        <w:t>；</w:t>
      </w:r>
    </w:p>
    <w:p w14:paraId="25FFEDFF" w14:textId="77777777" w:rsidR="00926A87" w:rsidRPr="00581DF1" w:rsidRDefault="00000000" w:rsidP="00A4652A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6. 兼容设备可以解密彼此生成的数据。</w:t>
      </w:r>
    </w:p>
    <w:p w14:paraId="665A1338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28A04567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CTR 不适于这一威胁模型，因为能读写密文的敌手可翻转任意密文位，从而翻转相应明文位。若 CBC 的 IV 仅由扇区号导出，敌手可将密文扇区复制到有相同分组的另一位置，或翻转前一分组的位来翻转目标明文位。</w:t>
      </w:r>
    </w:p>
    <w:p w14:paraId="27935623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5A5C4EC3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4.3 XTS-AES 单块与扇区运算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B66702" w14:paraId="5CCC83D9" w14:textId="77777777" w:rsidTr="00B66702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832B813" w14:textId="62007A6C" w:rsidR="00B66702" w:rsidRDefault="00B66702" w:rsidP="00B66702">
            <w:pPr>
              <w:spacing w:after="120"/>
              <w:jc w:val="center"/>
              <w:rPr>
                <w:rFonts w:asciiTheme="minorEastAsia" w:hAnsiTheme="minorEastAsia"/>
                <w:i/>
                <w:iCs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942EB20" wp14:editId="1EF7D542">
                  <wp:extent cx="3917103" cy="1446663"/>
                  <wp:effectExtent l="0" t="0" r="7620" b="1270"/>
                  <wp:docPr id="129529900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641" cy="1454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13BA9" w14:textId="3AD773A9" w:rsidR="00926A87" w:rsidRPr="00581DF1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lastRenderedPageBreak/>
        <w:t>图 7.10 显示了单个分组的加密和解密。运算包括带有两个密钥的 AES 算法的两个实例。如下参数与算法关联</w:t>
      </w:r>
      <w:r w:rsidR="00E56665">
        <w:rPr>
          <w:rFonts w:asciiTheme="minorEastAsia" w:hAnsiTheme="minorEastAsia" w:hint="eastAsia"/>
          <w:sz w:val="21"/>
          <w:szCs w:val="21"/>
        </w:rPr>
        <w:t>：</w:t>
      </w:r>
    </w:p>
    <w:p w14:paraId="263A9844" w14:textId="77777777" w:rsidR="00926A87" w:rsidRPr="00581DF1" w:rsidRDefault="00000000" w:rsidP="00E56665">
      <w:pPr>
        <w:pStyle w:val="a4"/>
        <w:numPr>
          <w:ilvl w:val="0"/>
          <w:numId w:val="7"/>
        </w:numPr>
        <w:spacing w:after="1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b/>
          <w:bCs/>
          <w:sz w:val="21"/>
          <w:szCs w:val="21"/>
        </w:rPr>
        <w:t>Key</w:t>
      </w:r>
      <w:r w:rsidRPr="00581DF1">
        <w:rPr>
          <w:rFonts w:asciiTheme="minorEastAsia" w:hAnsiTheme="minorEastAsia"/>
          <w:sz w:val="21"/>
          <w:szCs w:val="21"/>
        </w:rPr>
        <w:t xml:space="preserve">：256 位或 512 位的 XTS-AES 密钥；可以解析为两个等长的密钥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Key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和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Key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的级联，即 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Key</m:t>
        </m:r>
        <m: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Key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∥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Key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</w:p>
    <w:p w14:paraId="30F02253" w14:textId="77777777" w:rsidR="00926A87" w:rsidRPr="00581DF1" w:rsidRDefault="00000000" w:rsidP="00E56665">
      <w:pPr>
        <w:pStyle w:val="a4"/>
        <w:numPr>
          <w:ilvl w:val="0"/>
          <w:numId w:val="7"/>
        </w:numPr>
        <w:spacing w:after="100"/>
        <w:rPr>
          <w:rFonts w:asciiTheme="minorEastAsia" w:hAnsiTheme="minorEastAsia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：明文的第 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个分组。除最后一个分组外，所有其他分组的长度都为 128 位。明文数据单元通常是一个磁盘扇区，它由明文分组序列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,…,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m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构成。</w:t>
      </w:r>
    </w:p>
    <w:p w14:paraId="076197C8" w14:textId="77777777" w:rsidR="00926A87" w:rsidRPr="00581DF1" w:rsidRDefault="00000000" w:rsidP="00E56665">
      <w:pPr>
        <w:pStyle w:val="a4"/>
        <w:numPr>
          <w:ilvl w:val="0"/>
          <w:numId w:val="7"/>
        </w:numPr>
        <w:spacing w:after="100"/>
        <w:rPr>
          <w:rFonts w:asciiTheme="minorEastAsia" w:hAnsiTheme="minorEastAsia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：密文的第 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个分组。除最后一个分组外，所有其他分组的长度都为 128 位。</w:t>
      </w:r>
    </w:p>
    <w:p w14:paraId="46088E06" w14:textId="77777777" w:rsidR="00926A87" w:rsidRPr="00581DF1" w:rsidRDefault="00000000" w:rsidP="00E56665">
      <w:pPr>
        <w:pStyle w:val="a4"/>
        <w:numPr>
          <w:ilvl w:val="0"/>
          <w:numId w:val="7"/>
        </w:numPr>
        <w:spacing w:after="100"/>
        <w:rPr>
          <w:rFonts w:asciiTheme="minorEastAsia" w:hAnsiTheme="minor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：数据单元内 128 位分组的序号（标记扇区号，作为 </w:t>
      </w:r>
      <m:oMath>
        <m:r>
          <w:rPr>
            <w:rFonts w:ascii="Cambria Math" w:hAnsi="Cambria Math"/>
            <w:sz w:val="21"/>
            <w:szCs w:val="21"/>
          </w:rPr>
          <m:t>α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的幂次输入）。</w:t>
      </w:r>
    </w:p>
    <w:p w14:paraId="513D6920" w14:textId="77777777" w:rsidR="00926A87" w:rsidRPr="00581DF1" w:rsidRDefault="00000000" w:rsidP="00E56665">
      <w:pPr>
        <w:pStyle w:val="a4"/>
        <w:numPr>
          <w:ilvl w:val="0"/>
          <w:numId w:val="7"/>
        </w:numPr>
        <w:spacing w:after="100"/>
        <w:rPr>
          <w:rFonts w:asciiTheme="minorEastAsia" w:hAnsiTheme="minor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i</m:t>
        </m:r>
      </m:oMath>
      <w:r w:rsidRPr="00581DF1">
        <w:rPr>
          <w:rFonts w:asciiTheme="minorEastAsia" w:hAnsiTheme="minorEastAsia"/>
          <w:sz w:val="21"/>
          <w:szCs w:val="21"/>
        </w:rPr>
        <w:t>：128 位调整值。每个数据单位（扇区）被赋予一个非负整数的调整值。调整值按顺序赋值，可以从任意的非负整数开始（区分扇区。扇区 A、扇区 B 明文相同，密文整体不同；抵抗</w:t>
      </w:r>
      <w:r w:rsidRPr="00581DF1">
        <w:rPr>
          <w:rFonts w:asciiTheme="minorEastAsia" w:hAnsiTheme="minorEastAsia"/>
          <w:b/>
          <w:bCs/>
          <w:sz w:val="21"/>
          <w:szCs w:val="21"/>
        </w:rPr>
        <w:t>跨扇区复制扇区重放</w:t>
      </w:r>
      <w:r w:rsidRPr="00581DF1">
        <w:rPr>
          <w:rFonts w:asciiTheme="minorEastAsia" w:hAnsiTheme="minorEastAsia"/>
          <w:sz w:val="21"/>
          <w:szCs w:val="21"/>
        </w:rPr>
        <w:t>）。</w:t>
      </w:r>
    </w:p>
    <w:p w14:paraId="3BF6CE83" w14:textId="2E80E8C2" w:rsidR="00926A87" w:rsidRPr="00581DF1" w:rsidRDefault="00000000" w:rsidP="00E56665">
      <w:pPr>
        <w:pStyle w:val="a4"/>
        <w:numPr>
          <w:ilvl w:val="0"/>
          <w:numId w:val="7"/>
        </w:numPr>
        <w:spacing w:after="100"/>
        <w:rPr>
          <w:rFonts w:asciiTheme="minorEastAsia" w:hAnsiTheme="minor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α</m:t>
        </m:r>
      </m:oMath>
      <w:r w:rsidRPr="00581DF1">
        <w:rPr>
          <w:rFonts w:asciiTheme="minorEastAsia" w:hAnsiTheme="minorEastAsia"/>
          <w:sz w:val="21"/>
          <w:szCs w:val="21"/>
        </w:rPr>
        <w:t>：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GF</m:t>
        </m:r>
        <m:r>
          <w:rPr>
            <w:rFonts w:ascii="Cambria Math" w:hAnsi="Cambria Math"/>
            <w:sz w:val="21"/>
            <w:szCs w:val="21"/>
          </w:rPr>
          <m:t>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128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的一个本原元，对应于多项式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（即 </w:t>
      </w:r>
      <m:oMath>
        <m:r>
          <w:rPr>
            <w:rFonts w:ascii="Cambria Math" w:hAnsi="Cambria Math"/>
            <w:sz w:val="21"/>
            <w:szCs w:val="21"/>
          </w:rPr>
          <m:t>0000…010</m:t>
        </m:r>
      </m:oMath>
      <w:r w:rsidRPr="00581DF1">
        <w:rPr>
          <w:rFonts w:asciiTheme="minorEastAsia" w:hAnsiTheme="minorEastAsia"/>
          <w:sz w:val="21"/>
          <w:szCs w:val="21"/>
        </w:rPr>
        <w:t>），目的是给同一个扇区内部</w:t>
      </w:r>
      <w:r w:rsidRPr="00581DF1">
        <w:rPr>
          <w:rFonts w:asciiTheme="minorEastAsia" w:hAnsiTheme="minorEastAsia"/>
          <w:b/>
          <w:bCs/>
          <w:sz w:val="21"/>
          <w:szCs w:val="21"/>
        </w:rPr>
        <w:t>不同序号 j 的分组生成不同的偏移量</w:t>
      </w:r>
      <w:r w:rsidRPr="00581DF1">
        <w:rPr>
          <w:rFonts w:asciiTheme="minorEastAsia" w:hAnsiTheme="minorEastAsia"/>
          <w:sz w:val="21"/>
          <w:szCs w:val="21"/>
        </w:rPr>
        <w:t>。</w:t>
      </w:r>
    </w:p>
    <w:p w14:paraId="065D41EC" w14:textId="77777777" w:rsidR="00926A87" w:rsidRPr="00581DF1" w:rsidRDefault="00000000" w:rsidP="00E56665">
      <w:pPr>
        <w:pStyle w:val="a4"/>
        <w:numPr>
          <w:ilvl w:val="0"/>
          <w:numId w:val="7"/>
        </w:numPr>
        <w:spacing w:after="100"/>
        <w:rPr>
          <w:rFonts w:asciiTheme="minorEastAsia" w:hAnsiTheme="minorEastAsia"/>
          <w:sz w:val="21"/>
          <w:szCs w:val="21"/>
        </w:rPr>
      </w:pP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j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>：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GF</m:t>
        </m:r>
        <m:r>
          <w:rPr>
            <w:rFonts w:ascii="Cambria Math" w:hAnsi="Cambria Math"/>
            <w:sz w:val="21"/>
            <w:szCs w:val="21"/>
          </w:rPr>
          <m:t>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128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内 </w:t>
      </w:r>
      <m:oMath>
        <m:r>
          <w:rPr>
            <w:rFonts w:ascii="Cambria Math" w:hAnsi="Cambria Math"/>
            <w:sz w:val="21"/>
            <w:szCs w:val="21"/>
          </w:rPr>
          <m:t>α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自乘 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次。</w:t>
      </w:r>
    </w:p>
    <w:p w14:paraId="42B6B567" w14:textId="77777777" w:rsidR="00926A87" w:rsidRPr="00581DF1" w:rsidRDefault="00000000" w:rsidP="00E56665">
      <w:pPr>
        <w:pStyle w:val="a4"/>
        <w:numPr>
          <w:ilvl w:val="0"/>
          <w:numId w:val="7"/>
        </w:numPr>
        <w:spacing w:after="100"/>
        <w:rPr>
          <w:rFonts w:asciiTheme="minorEastAsia" w:hAnsiTheme="minor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⊕</m:t>
        </m:r>
      </m:oMath>
      <w:r w:rsidRPr="00581DF1">
        <w:rPr>
          <w:rFonts w:asciiTheme="minorEastAsia" w:hAnsiTheme="minorEastAsia"/>
          <w:sz w:val="21"/>
          <w:szCs w:val="21"/>
        </w:rPr>
        <w:t>：按位异或。</w:t>
      </w:r>
    </w:p>
    <w:p w14:paraId="765A12DF" w14:textId="77777777" w:rsidR="00926A87" w:rsidRPr="00581DF1" w:rsidRDefault="00000000" w:rsidP="00E56665">
      <w:pPr>
        <w:pStyle w:val="a4"/>
        <w:numPr>
          <w:ilvl w:val="0"/>
          <w:numId w:val="7"/>
        </w:numPr>
        <w:spacing w:after="100"/>
        <w:rPr>
          <w:rFonts w:asciiTheme="minorEastAsia" w:hAnsiTheme="minor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⊗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：两个二进制系数多项式模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128</m:t>
            </m:r>
          </m:sup>
        </m:sSup>
        <m:r>
          <w:rPr>
            <w:rFonts w:ascii="Cambria Math" w:hAnsi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7</m:t>
            </m:r>
          </m:sup>
        </m:sSup>
        <m:r>
          <w:rPr>
            <w:rFonts w:ascii="Cambria Math" w:hAnsi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+x+1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的模乘。因此，它是 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GF</m:t>
        </m:r>
        <m:r>
          <w:rPr>
            <w:rFonts w:ascii="Cambria Math" w:hAnsi="Cambria Math"/>
            <w:sz w:val="21"/>
            <w:szCs w:val="21"/>
          </w:rPr>
          <m:t>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128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内的乘法。</w:t>
      </w:r>
    </w:p>
    <w:p w14:paraId="7892E8C6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36F8E632" w14:textId="77777777" w:rsidR="00926A87" w:rsidRPr="00581DF1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1"/>
          <w:szCs w:val="21"/>
        </w:rPr>
      </w:pPr>
      <w:proofErr w:type="gramStart"/>
      <w:r w:rsidRPr="00581DF1">
        <w:rPr>
          <w:rFonts w:asciiTheme="minorEastAsia" w:hAnsiTheme="minorEastAsia"/>
          <w:sz w:val="21"/>
          <w:szCs w:val="21"/>
        </w:rPr>
        <w:t>[</w:t>
      </w:r>
      <w:r w:rsidRPr="00EB1D0C">
        <w:rPr>
          <w:rFonts w:asciiTheme="minorEastAsia" w:hAnsiTheme="minorEastAsia"/>
          <w:sz w:val="21"/>
          <w:szCs w:val="21"/>
          <w:highlight w:val="yellow"/>
        </w:rPr>
        <w:t>!NOTE</w:t>
      </w:r>
      <w:proofErr w:type="gramEnd"/>
      <w:r w:rsidRPr="00581DF1">
        <w:rPr>
          <w:rFonts w:asciiTheme="minorEastAsia" w:hAnsiTheme="minorEastAsia"/>
          <w:sz w:val="21"/>
          <w:szCs w:val="21"/>
        </w:rPr>
        <w:t xml:space="preserve">] </w:t>
      </w:r>
      <m:oMath>
        <m:r>
          <w:rPr>
            <w:rFonts w:ascii="Cambria Math" w:hAnsi="Cambria Math"/>
            <w:sz w:val="21"/>
            <w:szCs w:val="21"/>
          </w:rPr>
          <m:t>i,j,α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辨析</w:t>
      </w:r>
    </w:p>
    <w:p w14:paraId="05A3E628" w14:textId="77777777" w:rsidR="00926A87" w:rsidRPr="00581DF1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b/>
          <w:bCs/>
          <w:sz w:val="21"/>
          <w:szCs w:val="21"/>
        </w:rPr>
        <w:t xml:space="preserve">无 </w:t>
      </w:r>
      <m:oMath>
        <m:r>
          <w:rPr>
            <w:rFonts w:ascii="Cambria Math" w:hAnsi="Cambria Math"/>
            <w:sz w:val="21"/>
            <w:szCs w:val="21"/>
          </w:rPr>
          <m:t>i</m:t>
        </m:r>
      </m:oMath>
      <w:r w:rsidRPr="00581DF1">
        <w:rPr>
          <w:rFonts w:asciiTheme="minorEastAsia" w:hAnsiTheme="minorEastAsia"/>
          <w:b/>
          <w:bCs/>
          <w:sz w:val="21"/>
          <w:szCs w:val="21"/>
        </w:rPr>
        <w:t xml:space="preserve">，只有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j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>：</w:t>
      </w:r>
      <w:r w:rsidRPr="00581DF1">
        <w:rPr>
          <w:rFonts w:asciiTheme="minorEastAsia" w:hAnsiTheme="minorEastAsia"/>
          <w:sz w:val="21"/>
          <w:szCs w:val="21"/>
        </w:rPr>
        <w:br/>
        <w:t xml:space="preserve">不同扇区同一序号 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的分组会共用同一套偏移，跨扇区复制扇区会解密出相同明文。</w:t>
      </w:r>
    </w:p>
    <w:p w14:paraId="7BC145C6" w14:textId="77777777" w:rsidR="00926A87" w:rsidRPr="00581DF1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b/>
          <w:bCs/>
          <w:sz w:val="21"/>
          <w:szCs w:val="21"/>
        </w:rPr>
        <w:t xml:space="preserve">无 </w:t>
      </w:r>
      <m:oMath>
        <m:r>
          <w:rPr>
            <w:rFonts w:ascii="Cambria Math" w:hAnsi="Cambria Math"/>
            <w:sz w:val="21"/>
            <w:szCs w:val="21"/>
          </w:rPr>
          <m:t>α</m:t>
        </m:r>
      </m:oMath>
      <w:r w:rsidRPr="00581DF1">
        <w:rPr>
          <w:rFonts w:asciiTheme="minorEastAsia" w:hAnsiTheme="minorEastAsia"/>
          <w:b/>
          <w:bCs/>
          <w:sz w:val="21"/>
          <w:szCs w:val="21"/>
        </w:rPr>
        <w:t xml:space="preserve">，只用 </w:t>
      </w:r>
      <m:oMath>
        <m:r>
          <w:rPr>
            <w:rFonts w:ascii="Cambria Math" w:hAnsi="Cambria Math"/>
            <w:sz w:val="21"/>
            <w:szCs w:val="21"/>
          </w:rPr>
          <m:t>i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、</m:t>
        </m:r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>（简单整数计数器）：</w:t>
      </w:r>
      <w:r w:rsidRPr="00581DF1">
        <w:rPr>
          <w:rFonts w:asciiTheme="minorEastAsia" w:hAnsiTheme="minorEastAsia"/>
          <w:sz w:val="21"/>
          <w:szCs w:val="21"/>
        </w:rPr>
        <w:br/>
        <w:t xml:space="preserve"> 扇区内全部分组共用同一个 Base，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无法制造差异，同扇区相同明文分组密文一致，可块复制重放。</w:t>
      </w:r>
    </w:p>
    <w:p w14:paraId="237D221A" w14:textId="314AABA6" w:rsidR="00926A87" w:rsidRPr="00060AA7" w:rsidRDefault="00000000" w:rsidP="00060AA7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b/>
          <w:bCs/>
          <w:sz w:val="21"/>
          <w:szCs w:val="21"/>
        </w:rPr>
        <w:t xml:space="preserve">无 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b/>
          <w:bCs/>
          <w:sz w:val="21"/>
          <w:szCs w:val="21"/>
        </w:rPr>
        <w:t xml:space="preserve">，只用 </w:t>
      </w:r>
      <m:oMath>
        <m:r>
          <w:rPr>
            <w:rFonts w:ascii="Cambria Math" w:hAnsi="Cambria Math"/>
            <w:sz w:val="21"/>
            <w:szCs w:val="21"/>
          </w:rPr>
          <m:t>i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、</m:t>
        </m:r>
        <m:r>
          <w:rPr>
            <w:rFonts w:ascii="Cambria Math" w:hAnsi="Cambria Math"/>
            <w:sz w:val="21"/>
            <w:szCs w:val="21"/>
          </w:rPr>
          <m:t>α</m:t>
        </m:r>
      </m:oMath>
      <w:r w:rsidRPr="00581DF1">
        <w:rPr>
          <w:rFonts w:asciiTheme="minorEastAsia" w:hAnsiTheme="minorEastAsia"/>
          <w:sz w:val="21"/>
          <w:szCs w:val="21"/>
        </w:rPr>
        <w:t>：</w:t>
      </w:r>
      <w:r w:rsidRPr="00581DF1">
        <w:rPr>
          <w:rFonts w:asciiTheme="minorEastAsia" w:hAnsiTheme="minorEastAsia"/>
          <w:sz w:val="21"/>
          <w:szCs w:val="21"/>
        </w:rPr>
        <w:br/>
        <w:t xml:space="preserve"> 整个扇区所有分组偏移完全相同，完全失去内部分组区分能力，漏洞和 ECB 一致。</w:t>
      </w:r>
    </w:p>
    <w:p w14:paraId="07C18FA3" w14:textId="7DD78F91" w:rsidR="00926A87" w:rsidRPr="00581DF1" w:rsidRDefault="00000000" w:rsidP="00060AA7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XTS-AES 使用 256 或 512 位总密钥，拆为等长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∥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。对数据单元调整值 </w:t>
      </w:r>
      <m:oMath>
        <m:r>
          <w:rPr>
            <w:rFonts w:ascii="Cambria Math" w:hAnsi="Cambria Math"/>
            <w:sz w:val="21"/>
            <w:szCs w:val="21"/>
          </w:rPr>
          <m:t>i</m:t>
        </m:r>
      </m:oMath>
      <w:r w:rsidRPr="00581DF1">
        <w:rPr>
          <w:rFonts w:asciiTheme="minorEastAsia" w:hAnsiTheme="minorEastAsia"/>
          <w:sz w:val="21"/>
          <w:szCs w:val="21"/>
        </w:rPr>
        <w:t xml:space="preserve">、单元内块序号 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>，令</w:t>
      </w:r>
    </w:p>
    <w:p w14:paraId="27B01EDB" w14:textId="7777777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T=E(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,i)⊗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α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p>
          </m:sSup>
        </m:oMath>
      </m:oMathPara>
    </w:p>
    <w:p w14:paraId="1E4D9446" w14:textId="52F3CCD7" w:rsidR="00926A87" w:rsidRPr="00581DF1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lastRenderedPageBreak/>
        <w:t xml:space="preserve"> 其中 </w:t>
      </w:r>
      <m:oMath>
        <m:r>
          <w:rPr>
            <w:rFonts w:ascii="Cambria Math" w:hAnsi="Cambria Math"/>
            <w:sz w:val="21"/>
            <w:szCs w:val="21"/>
          </w:rPr>
          <m:t>α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是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128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中对应多项式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的本原元，</w:t>
      </w:r>
      <m:oMath>
        <m:r>
          <w:rPr>
            <w:rFonts w:ascii="Cambria Math" w:hAnsi="Cambria Math"/>
            <w:sz w:val="21"/>
            <w:szCs w:val="21"/>
          </w:rPr>
          <m:t>⊗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是模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128</m:t>
            </m:r>
          </m:sup>
        </m:sSup>
        <m:r>
          <w:rPr>
            <w:rFonts w:ascii="Cambria Math" w:hAnsi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7</m:t>
            </m:r>
          </m:sup>
        </m:sSup>
        <m:r>
          <w:rPr>
            <w:rFonts w:ascii="Cambria Math" w:hAnsi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+x+1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的域乘法。之后：</w:t>
      </w:r>
    </w:p>
    <w:p w14:paraId="213DF32F" w14:textId="449A80D7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PP=P⊕T,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 CC=E(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,PP),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 C=CC⊕T</m:t>
          </m:r>
        </m:oMath>
      </m:oMathPara>
    </w:p>
    <w:p w14:paraId="60A71CED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060D9B8C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解密按相同 </w:t>
      </w:r>
      <m:oMath>
        <m:r>
          <w:rPr>
            <w:rFonts w:ascii="Cambria Math" w:hAnsi="Cambria Math"/>
            <w:sz w:val="21"/>
            <w:szCs w:val="21"/>
          </w:rPr>
          <m:t>T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执行 </w:t>
      </w:r>
      <m:oMath>
        <m:r>
          <w:rPr>
            <w:rFonts w:ascii="Cambria Math" w:hAnsi="Cambria Math"/>
            <w:sz w:val="21"/>
            <w:szCs w:val="21"/>
          </w:rPr>
          <m:t>CC=C⊕T</m:t>
        </m:r>
      </m:oMath>
      <w:r w:rsidRPr="00581DF1">
        <w:rPr>
          <w:rFonts w:asciiTheme="minorEastAsia" w:hAnsiTheme="minorEastAsia"/>
          <w:sz w:val="21"/>
          <w:szCs w:val="21"/>
        </w:rPr>
        <w:t>、</w:t>
      </w:r>
      <m:oMath>
        <m:r>
          <w:rPr>
            <w:rFonts w:ascii="Cambria Math" w:hAnsi="Cambria Math"/>
            <w:sz w:val="21"/>
            <w:szCs w:val="21"/>
          </w:rPr>
          <m:t>PP=D(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,CC)</m:t>
        </m:r>
      </m:oMath>
      <w:r w:rsidRPr="00581DF1">
        <w:rPr>
          <w:rFonts w:asciiTheme="minorEastAsia" w:hAnsiTheme="minorEastAsia"/>
          <w:sz w:val="21"/>
          <w:szCs w:val="21"/>
        </w:rPr>
        <w:t>、</w:t>
      </w:r>
      <m:oMath>
        <m:r>
          <w:rPr>
            <w:rFonts w:ascii="Cambria Math" w:hAnsi="Cambria Math"/>
            <w:sz w:val="21"/>
            <w:szCs w:val="21"/>
          </w:rPr>
          <m:t>P=PP⊕T</m:t>
        </m:r>
      </m:oMath>
      <w:r w:rsidRPr="00581DF1">
        <w:rPr>
          <w:rFonts w:asciiTheme="minorEastAsia" w:hAnsiTheme="minorEastAsia"/>
          <w:sz w:val="21"/>
          <w:szCs w:val="21"/>
        </w:rPr>
        <w:t>。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相当于单元内计数器，使同一单元中不同位置的相同明文变为不同密文；</w:t>
      </w:r>
      <m:oMath>
        <m:r>
          <w:rPr>
            <w:rFonts w:ascii="Cambria Math" w:hAnsi="Cambria Math"/>
            <w:sz w:val="21"/>
            <w:szCs w:val="21"/>
          </w:rPr>
          <m:t>i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充当数据单元层面的时变值，使不同单元相同位置的同一明文也产生不同密文。</w:t>
      </w:r>
    </w:p>
    <w:p w14:paraId="53150F78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69FF3E9D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对扇区，正常块独立处理。最后一个块不足 128 位时，最后两个块使用</w:t>
      </w:r>
      <w:r w:rsidRPr="00581DF1">
        <w:rPr>
          <w:rFonts w:asciiTheme="minorEastAsia" w:hAnsiTheme="minorEastAsia"/>
          <w:b/>
          <w:bCs/>
          <w:sz w:val="21"/>
          <w:szCs w:val="21"/>
        </w:rPr>
        <w:t>密文窃取技术</w:t>
      </w:r>
      <w:r w:rsidRPr="00581DF1">
        <w:rPr>
          <w:rFonts w:asciiTheme="minorEastAsia" w:hAnsiTheme="minorEastAsia"/>
          <w:sz w:val="21"/>
          <w:szCs w:val="21"/>
        </w:rPr>
        <w:t>而非填充技术：借用倒数第二块的临时密文补足末块。与 CTR 类似，XTS-AES 没有链接，可并行加解密多个分组。</w:t>
      </w:r>
    </w:p>
    <w:p w14:paraId="54DB797A" w14:textId="77777777" w:rsidR="00E24189" w:rsidRPr="00581DF1" w:rsidRDefault="00000000" w:rsidP="00E24189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E24189" w14:paraId="1F79D606" w14:textId="77777777" w:rsidTr="00E24189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3C7B510" w14:textId="43CA90B4" w:rsidR="00E24189" w:rsidRDefault="00E24189" w:rsidP="00E24189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6499066" wp14:editId="24EDC01F">
                  <wp:extent cx="3289110" cy="3021577"/>
                  <wp:effectExtent l="0" t="0" r="6985" b="7620"/>
                  <wp:docPr id="184903530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030" cy="302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73EF3" w14:textId="77777777" w:rsidR="00926A87" w:rsidRPr="00581DF1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581DF1">
        <w:rPr>
          <w:rFonts w:asciiTheme="minorEastAsia" w:hAnsiTheme="minorEastAsia"/>
          <w:sz w:val="28"/>
          <w:szCs w:val="28"/>
        </w:rPr>
        <w:t>5. 补充：保留格式加密（FPE）</w:t>
      </w:r>
    </w:p>
    <w:p w14:paraId="40F6E77D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5.1 格式、动机和设计困难</w:t>
      </w:r>
    </w:p>
    <w:p w14:paraId="5B1B7FF3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FPE 的密文保留明文格式与长度。例如 16 位十进制信用卡号经 FPE 后仍是 16 位十进制数，虽不一定是有效卡号。它适合金融信息安全、数据净化、旧数据库字段的透明加密；使用它不必改变原数据库，只需最小改动查看明文数据的应用。</w:t>
      </w:r>
    </w:p>
    <w:p w14:paraId="62C1D78F" w14:textId="7E4FBBBD" w:rsidR="00926A87" w:rsidRPr="00581DF1" w:rsidRDefault="00000000" w:rsidP="00E24189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lastRenderedPageBreak/>
        <w:t xml:space="preserve"> 标准分组加密不能直接解决该问题。若将十进制字符编码后 AES 加密，再对每 4 位结果模 10，虽能得到十进制字符串，但不可逆，因为 </w:t>
      </w:r>
      <m:oMath>
        <m:r>
          <w:rPr>
            <w:rFonts w:ascii="Cambria Math" w:hAnsi="Cambria Math"/>
            <w:sz w:val="21"/>
            <w:szCs w:val="21"/>
          </w:rPr>
          <m:t>12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>10=2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>10=2</m:t>
        </m:r>
      </m:oMath>
      <w:r w:rsidRPr="00581DF1">
        <w:rPr>
          <w:rFonts w:asciiTheme="minorEastAsia" w:hAnsiTheme="minorEastAsia"/>
          <w:sz w:val="21"/>
          <w:szCs w:val="21"/>
        </w:rPr>
        <w:t>。因此 FPE 必须同时保留格式、保持可逆、并提供安全性。</w:t>
      </w:r>
    </w:p>
    <w:p w14:paraId="41777C0A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1FDE6579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教材列出 FPE 的要求：密文与明文长度和格式相同；支持不同字符和数字类型；能处理不同长度；安全强度与 AES 接近；短明文也应有强安全性。短输入尤其危险，例如只加密信用卡中间 6 位时，攻击者可借大量明密文对建立字典。解决方法是加入调整值：将 CCN 前 2 位和后 4 位作为调整值，使相同中间 6 位在不同 CCN 中先变成不同调整后输入。</w:t>
      </w:r>
    </w:p>
    <w:p w14:paraId="31E7A4A1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1EA38DE1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5.2 FPE 的 Feistel 结构</w:t>
      </w:r>
    </w:p>
    <w:p w14:paraId="0386BEF8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输入字符串长度为 </w:t>
      </w:r>
      <m:oMath>
        <m:r>
          <w:rPr>
            <w:rFonts w:ascii="Cambria Math" w:hAnsi="Cambria Math"/>
            <w:sz w:val="21"/>
            <w:szCs w:val="21"/>
          </w:rPr>
          <m:t>n=u+v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，被分为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。偶数轮中，轮函数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处理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，结果与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作模加；奇数轮反向处理另一半。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的输入包括密钥 </w:t>
      </w:r>
      <m:oMath>
        <m:r>
          <w:rPr>
            <w:rFonts w:ascii="Cambria Math" w:hAnsi="Cambria Math"/>
            <w:sz w:val="21"/>
            <w:szCs w:val="21"/>
          </w:rPr>
          <m:t>K</m:t>
        </m:r>
      </m:oMath>
      <w:r w:rsidRPr="00581DF1">
        <w:rPr>
          <w:rFonts w:asciiTheme="minorEastAsia" w:hAnsiTheme="minorEastAsia"/>
          <w:sz w:val="21"/>
          <w:szCs w:val="21"/>
        </w:rPr>
        <w:t xml:space="preserve">、长度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581DF1">
        <w:rPr>
          <w:rFonts w:asciiTheme="minorEastAsia" w:hAnsiTheme="minorEastAsia"/>
          <w:sz w:val="21"/>
          <w:szCs w:val="21"/>
        </w:rPr>
        <w:t xml:space="preserve">、调整值 </w:t>
      </w:r>
      <m:oMath>
        <m:r>
          <w:rPr>
            <w:rFonts w:ascii="Cambria Math" w:hAnsi="Cambria Math"/>
            <w:sz w:val="21"/>
            <w:szCs w:val="21"/>
          </w:rPr>
          <m:t>T</m:t>
        </m:r>
      </m:oMath>
      <w:r w:rsidRPr="00581DF1">
        <w:rPr>
          <w:rFonts w:asciiTheme="minorEastAsia" w:hAnsiTheme="minorEastAsia"/>
          <w:sz w:val="21"/>
          <w:szCs w:val="21"/>
        </w:rPr>
        <w:t xml:space="preserve">、轮号 </w:t>
      </w:r>
      <m:oMath>
        <m:r>
          <w:rPr>
            <w:rFonts w:ascii="Cambria Math" w:hAnsi="Cambria Math"/>
            <w:sz w:val="21"/>
            <w:szCs w:val="21"/>
          </w:rPr>
          <m:t>i</m:t>
        </m:r>
      </m:oMath>
      <w:r w:rsidRPr="00581DF1">
        <w:rPr>
          <w:rFonts w:asciiTheme="minorEastAsia" w:hAnsiTheme="minorEastAsia"/>
          <w:sz w:val="21"/>
          <w:szCs w:val="21"/>
        </w:rPr>
        <w:t>，它把字符串转换为位串、置乱，再输出目标格式和长度的字符串。</w:t>
      </w:r>
    </w:p>
    <w:p w14:paraId="6358D57B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1EDA4110" w14:textId="2D40E7FF" w:rsidR="00926A87" w:rsidRPr="00581DF1" w:rsidRDefault="00000000" w:rsidP="006D2F2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一轮可写为</w:t>
      </w:r>
    </w:p>
    <w:p w14:paraId="35FED755" w14:textId="2E10F2B6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[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]</m:t>
          </m:r>
        </m:oMath>
      </m:oMathPara>
    </w:p>
    <w:p w14:paraId="0C97AD87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4804C477" w14:textId="7D683A78" w:rsidR="00926A87" w:rsidRPr="00581DF1" w:rsidRDefault="00000000" w:rsidP="004545DF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解密按逆轮序、把模加换为模减：</w:t>
      </w:r>
    </w:p>
    <w:p w14:paraId="79F1E8D6" w14:textId="22980C4D" w:rsidR="00926A87" w:rsidRPr="00581DF1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[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]</m:t>
          </m:r>
        </m:oMath>
      </m:oMathPara>
    </w:p>
    <w:p w14:paraId="507E5141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33018925" w14:textId="5569A335" w:rsidR="00EE061C" w:rsidRPr="00581DF1" w:rsidRDefault="00000000" w:rsidP="00EE061C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因此 Feistel 结构的可逆性不要求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自身可逆。总轮数为偶数后，输出两半的长度仍为 </w:t>
      </w:r>
      <m:oMath>
        <m:r>
          <w:rPr>
            <w:rFonts w:ascii="Cambria Math" w:hAnsi="Cambria Math"/>
            <w:sz w:val="21"/>
            <w:szCs w:val="21"/>
          </w:rPr>
          <m:t>u,v</m:t>
        </m:r>
      </m:oMath>
      <w:r w:rsidRPr="00581DF1">
        <w:rPr>
          <w:rFonts w:asciiTheme="minorEastAsia" w:hAnsiTheme="minorEastAsia"/>
          <w:sz w:val="21"/>
          <w:szCs w:val="21"/>
        </w:rPr>
        <w:t>，从而保持格式。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EE061C" w14:paraId="6DDB8CBB" w14:textId="77777777" w:rsidTr="00EE061C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CDF4EB7" w14:textId="40015545" w:rsidR="00EE061C" w:rsidRDefault="00EE061C" w:rsidP="00EE061C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D498BD" wp14:editId="284D28FB">
                  <wp:extent cx="3466531" cy="3667868"/>
                  <wp:effectExtent l="0" t="0" r="635" b="8890"/>
                  <wp:docPr id="74065538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58" cy="3668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9A17C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t>5.3 字符串数值化与长度约束</w:t>
      </w:r>
    </w:p>
    <w:p w14:paraId="6B6F0245" w14:textId="1E17F000" w:rsidR="00926A87" w:rsidRPr="00581DF1" w:rsidRDefault="00000000" w:rsidP="009E2AB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字母表字符数称为基数 radix。将长度 </w:t>
      </w:r>
      <m:oMath>
        <m:r>
          <w:rPr>
            <w:rFonts w:ascii="Cambria Math" w:hAnsi="Cambria Math"/>
            <w:sz w:val="21"/>
            <w:szCs w:val="21"/>
          </w:rPr>
          <m:t>m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的数字串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转换为整数：</w:t>
      </w:r>
    </w:p>
    <w:p w14:paraId="1CB6FD57" w14:textId="08A5EE58" w:rsidR="00926A87" w:rsidRPr="000C26FB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NUM</m:t>
              </m:r>
              <m:r>
                <w:rPr>
                  <w:rFonts w:ascii="Cambria Math" w:hAnsi="Cambria Math"/>
                  <w:sz w:val="21"/>
                  <w:szCs w:val="21"/>
                </w:rPr>
                <m:t>⁡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radix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i=1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m</m:t>
              </m:r>
            </m:sup>
            <m:e>
              <m:r>
                <w:rPr>
                  <w:rFonts w:ascii="Cambria Math" w:hAnsi="Cambria Math"/>
                  <w:sz w:val="21"/>
                  <w:szCs w:val="21"/>
                </w:rPr>
                <m:t>X[i]</m:t>
              </m:r>
            </m:e>
          </m:nary>
          <m:r>
            <w:rPr>
              <w:rFonts w:ascii="Cambria Math" w:hAnsi="Cambria Math" w:hint="eastAsia"/>
              <w:sz w:val="21"/>
              <w:szCs w:val="21"/>
            </w:rPr>
            <m:t>·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radix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m-i</m:t>
              </m:r>
            </m:sup>
          </m:sSup>
        </m:oMath>
      </m:oMathPara>
    </w:p>
    <w:p w14:paraId="3321B837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2FA4E601" w14:textId="77777777" w:rsidR="00926A87" w:rsidRPr="00581DF1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逆函数 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STR</m:t>
            </m:r>
            <m:r>
              <w:rPr>
                <w:rFonts w:ascii="Cambria Math" w:hAnsi="Cambria Math"/>
                <w:sz w:val="21"/>
                <w:szCs w:val="21"/>
              </w:rPr>
              <m:t>⁡</m:t>
            </m:r>
          </m:e>
          <m:sub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radix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</m:sSubSup>
        <m:r>
          <w:rPr>
            <w:rFonts w:ascii="Cambria Math" w:hAnsi="Cambria Math"/>
            <w:sz w:val="21"/>
            <w:szCs w:val="21"/>
          </w:rPr>
          <m:t>(x)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则把小于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radix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 的非负整数还原为长度 </w:t>
      </w:r>
      <m:oMath>
        <m:r>
          <w:rPr>
            <w:rFonts w:ascii="Cambria Math" w:hAnsi="Cambria Math"/>
            <w:sz w:val="21"/>
            <w:szCs w:val="21"/>
          </w:rPr>
          <m:t>m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的数字串。教材以 </w:t>
      </w:r>
      <w:proofErr w:type="spellStart"/>
      <w:r w:rsidRPr="00581DF1">
        <w:rPr>
          <w:rFonts w:asciiTheme="minorEastAsia" w:hAnsiTheme="minorEastAsia" w:cs="Courier New"/>
          <w:sz w:val="21"/>
          <w:szCs w:val="21"/>
          <w:shd w:val="clear" w:color="auto" w:fill="F1F5F9"/>
        </w:rPr>
        <w:t>zaby</w:t>
      </w:r>
      <w:proofErr w:type="spellEnd"/>
      <w:r w:rsidRPr="00581DF1">
        <w:rPr>
          <w:rFonts w:asciiTheme="minorEastAsia" w:hAnsiTheme="minorEastAsia"/>
          <w:sz w:val="21"/>
          <w:szCs w:val="21"/>
        </w:rPr>
        <w:t xml:space="preserve"> 为例，在 26 进制中得到 </w:t>
      </w:r>
      <m:oMath>
        <m:r>
          <w:rPr>
            <w:rFonts w:ascii="Cambria Math" w:hAnsi="Cambria Math"/>
            <w:sz w:val="21"/>
            <w:szCs w:val="21"/>
          </w:rPr>
          <m:t>25⋅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26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/>
            <w:sz w:val="21"/>
            <w:szCs w:val="21"/>
          </w:rPr>
          <m:t>+0⋅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26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+1⋅26+24=439450</m:t>
        </m:r>
      </m:oMath>
      <w:r w:rsidRPr="00581DF1">
        <w:rPr>
          <w:rFonts w:asciiTheme="minorEastAsia" w:hAnsiTheme="minorEastAsia"/>
          <w:sz w:val="21"/>
          <w:szCs w:val="21"/>
        </w:rPr>
        <w:t>。</w:t>
      </w:r>
    </w:p>
    <w:p w14:paraId="64188DE7" w14:textId="77777777" w:rsidR="00926A87" w:rsidRPr="00581DF1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71CAF023" w14:textId="2C06D9C4" w:rsidR="00926A87" w:rsidRPr="00581DF1" w:rsidRDefault="00000000" w:rsidP="000C26F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长度为 </w:t>
      </w:r>
      <w:proofErr w:type="spellStart"/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len</m:t>
        </m:r>
      </m:oMath>
      <w:proofErr w:type="spellEnd"/>
      <w:r w:rsidRPr="00581DF1">
        <w:rPr>
          <w:rFonts w:asciiTheme="minorEastAsia" w:hAnsiTheme="minorEastAsia"/>
          <w:sz w:val="21"/>
          <w:szCs w:val="21"/>
        </w:rPr>
        <w:t>、基数为 radix 的串，其数值所需位数是</w:t>
      </w:r>
    </w:p>
    <w:p w14:paraId="5F93F5AC" w14:textId="72365490" w:rsidR="00926A87" w:rsidRPr="00581DF1" w:rsidRDefault="00000000" w:rsidP="000C26FB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51D7C1D9" wp14:editId="0BDF6DD6">
            <wp:extent cx="1603612" cy="134167"/>
            <wp:effectExtent l="0" t="0" r="0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42" cy="14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2AB5" w14:textId="394872D6" w:rsidR="00926A87" w:rsidRPr="00581DF1" w:rsidRDefault="00000000" w:rsidP="000C26F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固定 </w:t>
      </w:r>
      <w:proofErr w:type="spellStart"/>
      <w:r w:rsidRPr="00581DF1">
        <w:rPr>
          <w:rFonts w:asciiTheme="minorEastAsia" w:hAnsiTheme="minorEastAsia"/>
          <w:sz w:val="21"/>
          <w:szCs w:val="21"/>
        </w:rPr>
        <w:t>bitlen</w:t>
      </w:r>
      <w:proofErr w:type="spellEnd"/>
      <w:r w:rsidRPr="00581DF1">
        <w:rPr>
          <w:rFonts w:asciiTheme="minorEastAsia" w:hAnsiTheme="minorEastAsia"/>
          <w:sz w:val="21"/>
          <w:szCs w:val="21"/>
        </w:rPr>
        <w:t xml:space="preserve"> 上限时，基数越大，允许的最大字符长度越小：</w:t>
      </w:r>
    </w:p>
    <w:p w14:paraId="74187BEF" w14:textId="2EB26BCD" w:rsidR="00926A87" w:rsidRPr="00581DF1" w:rsidRDefault="00000000" w:rsidP="000C26FB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423CBE5D" wp14:editId="76979BC3">
            <wp:extent cx="1245290" cy="279779"/>
            <wp:effectExtent l="0" t="0" r="0" b="6350"/>
            <wp:docPr id="318084002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230" cy="28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722A" w14:textId="77777777" w:rsidR="00926A87" w:rsidRPr="00581DF1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581DF1">
        <w:rPr>
          <w:rFonts w:asciiTheme="minorEastAsia" w:hAnsiTheme="minorEastAsia"/>
          <w:sz w:val="24"/>
          <w:szCs w:val="24"/>
        </w:rPr>
        <w:lastRenderedPageBreak/>
        <w:t>5.4 NIST 的 FF1、FF2、FF3</w:t>
      </w:r>
    </w:p>
    <w:p w14:paraId="65697756" w14:textId="25BFC900" w:rsidR="00926A87" w:rsidRPr="00581DF1" w:rsidRDefault="00000000" w:rsidP="000C26F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NIST SP 800-38G 规定三种 FPE 算法 FF1、FF2、FF3。三者均采用 Feistel 结构、以 AES 构造不同的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>，区别如下：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19"/>
        <w:gridCol w:w="1219"/>
        <w:gridCol w:w="4990"/>
      </w:tblGrid>
      <w:tr w:rsidR="00926A87" w:rsidRPr="00581DF1" w14:paraId="5CD4E22B" w14:textId="77777777">
        <w:trPr>
          <w:tblHeader/>
        </w:trPr>
        <w:tc>
          <w:tcPr>
            <w:tcW w:w="1498" w:type="dxa"/>
          </w:tcPr>
          <w:p w14:paraId="1A14120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W w:w="1498" w:type="dxa"/>
          </w:tcPr>
          <w:p w14:paraId="0F03A28F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轮数</w:t>
            </w:r>
          </w:p>
        </w:tc>
        <w:tc>
          <w:tcPr>
            <w:tcW w:w="6364" w:type="dxa"/>
          </w:tcPr>
          <w:p w14:paraId="197FF489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轮函数构造与特点</w:t>
            </w:r>
          </w:p>
        </w:tc>
      </w:tr>
      <w:tr w:rsidR="00926A87" w:rsidRPr="00581DF1" w14:paraId="01D1B99A" w14:textId="77777777">
        <w:tc>
          <w:tcPr>
            <w:tcW w:w="1498" w:type="dxa"/>
          </w:tcPr>
          <w:p w14:paraId="6DF56083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FF1</w:t>
            </w:r>
          </w:p>
        </w:tc>
        <w:tc>
          <w:tcPr>
            <w:tcW w:w="1498" w:type="dxa"/>
          </w:tcPr>
          <w:p w14:paraId="79847A1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10</w:t>
            </w:r>
          </w:p>
        </w:tc>
        <w:tc>
          <w:tcPr>
            <w:tcW w:w="6364" w:type="dxa"/>
          </w:tcPr>
          <w:p w14:paraId="6A4C07B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支持最大范围的明文长度和调整值；轮函数使用 CBC。</w:t>
            </w:r>
          </w:p>
        </w:tc>
      </w:tr>
      <w:tr w:rsidR="00926A87" w:rsidRPr="00581DF1" w14:paraId="6A69A4D3" w14:textId="77777777">
        <w:tc>
          <w:tcPr>
            <w:tcW w:w="1498" w:type="dxa"/>
          </w:tcPr>
          <w:p w14:paraId="65C9F78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FF2</w:t>
            </w:r>
          </w:p>
        </w:tc>
        <w:tc>
          <w:tcPr>
            <w:tcW w:w="1498" w:type="dxa"/>
          </w:tcPr>
          <w:p w14:paraId="102AB551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10</w:t>
            </w:r>
          </w:p>
        </w:tc>
        <w:tc>
          <w:tcPr>
            <w:tcW w:w="6364" w:type="dxa"/>
          </w:tcPr>
          <w:p w14:paraId="517AADC8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用加密密钥和调整值生成子密钥，再用该子密钥加密；轮函数使用 ECB。</w:t>
            </w:r>
          </w:p>
        </w:tc>
      </w:tr>
      <w:tr w:rsidR="00926A87" w:rsidRPr="00581DF1" w14:paraId="4E0E8A9D" w14:textId="77777777">
        <w:tc>
          <w:tcPr>
            <w:tcW w:w="1498" w:type="dxa"/>
          </w:tcPr>
          <w:p w14:paraId="71E52451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FF3</w:t>
            </w:r>
          </w:p>
        </w:tc>
        <w:tc>
          <w:tcPr>
            <w:tcW w:w="1498" w:type="dxa"/>
          </w:tcPr>
          <w:p w14:paraId="7EAF2651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8</w:t>
            </w:r>
          </w:p>
        </w:tc>
        <w:tc>
          <w:tcPr>
            <w:tcW w:w="6364" w:type="dxa"/>
          </w:tcPr>
          <w:p w14:paraId="205DEB09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使用原加密密钥、ECB，轮数最少但调整值灵活性最低；调整值固定为 64 位。</w:t>
            </w:r>
          </w:p>
        </w:tc>
      </w:tr>
    </w:tbl>
    <w:p w14:paraId="54856FAA" w14:textId="77777777" w:rsidR="00CA7BBB" w:rsidRDefault="00CA7BBB" w:rsidP="000C26FB">
      <w:pPr>
        <w:spacing w:after="120"/>
        <w:rPr>
          <w:rFonts w:asciiTheme="minorEastAsia" w:hAnsiTheme="minorEastAsia"/>
          <w:sz w:val="21"/>
          <w:szCs w:val="21"/>
        </w:rPr>
      </w:pPr>
    </w:p>
    <w:p w14:paraId="31E0A1DF" w14:textId="608E7759" w:rsidR="00926A87" w:rsidRPr="00581DF1" w:rsidRDefault="00000000" w:rsidP="000C26F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FF1 的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PRF</m:t>
            </m:r>
            <m:r>
              <w:rPr>
                <w:rFonts w:ascii="Cambria Math" w:hAnsi="Cambria Math"/>
                <w:sz w:val="21"/>
                <w:szCs w:val="21"/>
              </w:rPr>
              <m:t>⁡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  <m:r>
          <w:rPr>
            <w:rFonts w:ascii="Cambria Math" w:hAnsi="Cambria Math"/>
            <w:sz w:val="21"/>
            <w:szCs w:val="21"/>
          </w:rPr>
          <m:t>(X)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将 128 位倍数长度输入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以全零 IV 进行 CBC 加密，并返回最后一个密文块；本质上等价于 CBC-MAC 或 CMAC。FF1 将输入拆成 </w:t>
      </w:r>
      <m:oMath>
        <m:r>
          <w:rPr>
            <w:rFonts w:ascii="Cambria Math" w:hAnsi="Cambria Math"/>
            <w:sz w:val="21"/>
            <w:szCs w:val="21"/>
          </w:rPr>
          <m:t>A,B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，以调整值、轮号、基数和长度构造 </w:t>
      </w:r>
      <m:oMath>
        <m:r>
          <w:rPr>
            <w:rFonts w:ascii="Cambria Math" w:hAnsi="Cambria Math"/>
            <w:sz w:val="21"/>
            <w:szCs w:val="21"/>
          </w:rPr>
          <m:t>Q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，用 PRF 生成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581DF1">
        <w:rPr>
          <w:rFonts w:asciiTheme="minorEastAsia" w:hAnsiTheme="minorEastAsia"/>
          <w:sz w:val="21"/>
          <w:szCs w:val="21"/>
        </w:rPr>
        <w:t xml:space="preserve">，扩展或截断为 </w:t>
      </w:r>
      <m:oMath>
        <m:r>
          <w:rPr>
            <w:rFonts w:ascii="Cambria Math" w:hAnsi="Cambria Math"/>
            <w:sz w:val="21"/>
            <w:szCs w:val="21"/>
          </w:rPr>
          <m:t>S</m:t>
        </m:r>
      </m:oMath>
      <w:r w:rsidRPr="00581DF1">
        <w:rPr>
          <w:rFonts w:asciiTheme="minorEastAsia" w:hAnsiTheme="minorEastAsia"/>
          <w:sz w:val="21"/>
          <w:szCs w:val="21"/>
        </w:rPr>
        <w:t>，再进行</w:t>
      </w:r>
    </w:p>
    <w:p w14:paraId="773BA648" w14:textId="73875F4F" w:rsidR="00926A87" w:rsidRPr="00581DF1" w:rsidRDefault="00000000" w:rsidP="00CA7BBB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c=(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NUM</m:t>
              </m:r>
              <m:r>
                <w:rPr>
                  <w:rFonts w:ascii="Cambria Math" w:hAnsi="Cambria Math"/>
                  <w:sz w:val="21"/>
                  <w:szCs w:val="21"/>
                </w:rPr>
                <m:t>⁡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radix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(A)+y)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radix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m</m:t>
              </m:r>
            </m:sup>
          </m:sSup>
        </m:oMath>
      </m:oMathPara>
    </w:p>
    <w:p w14:paraId="1D1120B2" w14:textId="50ED2D7D" w:rsidR="00CA7BBB" w:rsidRPr="00581DF1" w:rsidRDefault="00000000" w:rsidP="00CA7BB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最后将 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转回 </w:t>
      </w:r>
      <m:oMath>
        <m:r>
          <w:rPr>
            <w:rFonts w:ascii="Cambria Math" w:hAnsi="Cambria Math"/>
            <w:sz w:val="21"/>
            <w:szCs w:val="21"/>
          </w:rPr>
          <m:t>m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个字符、完成 Feistel 的交换。其 10 轮后输出 </w:t>
      </w:r>
      <m:oMath>
        <m:r>
          <w:rPr>
            <w:rFonts w:ascii="Cambria Math" w:hAnsi="Cambria Math"/>
            <w:sz w:val="21"/>
            <w:szCs w:val="21"/>
          </w:rPr>
          <m:t>A∥B</m:t>
        </m:r>
      </m:oMath>
      <w:r w:rsidRPr="00581DF1">
        <w:rPr>
          <w:rFonts w:asciiTheme="minorEastAsia" w:hAnsiTheme="minorEastAsia"/>
          <w:sz w:val="21"/>
          <w:szCs w:val="21"/>
        </w:rPr>
        <w:t>，长度和格式不变。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A7BBB" w14:paraId="220D1462" w14:textId="77777777" w:rsidTr="00CA7BBB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936454B" w14:textId="3F8F0AE3" w:rsidR="00CA7BBB" w:rsidRDefault="00CA7BBB" w:rsidP="00CA7BBB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99C43D3" wp14:editId="51B4B734">
                  <wp:extent cx="3009331" cy="3097521"/>
                  <wp:effectExtent l="0" t="0" r="635" b="8255"/>
                  <wp:docPr id="143702062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1" t="5069" r="3324" b="5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4121" cy="3112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5FE9A" w14:textId="77777777" w:rsidR="00926A87" w:rsidRPr="00581DF1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581DF1">
        <w:rPr>
          <w:rFonts w:asciiTheme="minorEastAsia" w:hAnsiTheme="minorEastAsia"/>
          <w:sz w:val="28"/>
          <w:szCs w:val="28"/>
        </w:rPr>
        <w:lastRenderedPageBreak/>
        <w:t>本章关键术语整理</w:t>
      </w:r>
    </w:p>
    <w:p w14:paraId="4FA538E1" w14:textId="77777777" w:rsidR="00926A87" w:rsidRPr="00581DF1" w:rsidRDefault="00000000">
      <w:pPr>
        <w:spacing w:after="24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47"/>
        <w:gridCol w:w="4881"/>
      </w:tblGrid>
      <w:tr w:rsidR="00926A87" w:rsidRPr="00581DF1" w14:paraId="6FCC9450" w14:textId="77777777">
        <w:trPr>
          <w:tblHeader/>
        </w:trPr>
        <w:tc>
          <w:tcPr>
            <w:tcW w:w="3186" w:type="dxa"/>
          </w:tcPr>
          <w:p w14:paraId="1083EEE7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6174" w:type="dxa"/>
          </w:tcPr>
          <w:p w14:paraId="3070BB4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b/>
                <w:bCs/>
                <w:sz w:val="21"/>
                <w:szCs w:val="21"/>
              </w:rPr>
              <w:t>教材含义</w:t>
            </w:r>
          </w:p>
        </w:tc>
      </w:tr>
      <w:tr w:rsidR="00926A87" w:rsidRPr="00581DF1" w14:paraId="71FB513F" w14:textId="77777777">
        <w:tc>
          <w:tcPr>
            <w:tcW w:w="3186" w:type="dxa"/>
          </w:tcPr>
          <w:p w14:paraId="1662A9E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多重加密</w:t>
            </w:r>
          </w:p>
        </w:tc>
        <w:tc>
          <w:tcPr>
            <w:tcW w:w="6174" w:type="dxa"/>
          </w:tcPr>
          <w:p w14:paraId="621C47C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对一个分组密码使用多个密钥并进行多次加密的方案。</w:t>
            </w:r>
          </w:p>
        </w:tc>
      </w:tr>
      <w:tr w:rsidR="00926A87" w:rsidRPr="00581DF1" w14:paraId="06F0FD64" w14:textId="77777777">
        <w:tc>
          <w:tcPr>
            <w:tcW w:w="3186" w:type="dxa"/>
          </w:tcPr>
          <w:p w14:paraId="5168CC8E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中间相遇攻击</w:t>
            </w:r>
          </w:p>
        </w:tc>
        <w:tc>
          <w:tcPr>
            <w:tcW w:w="6174" w:type="dxa"/>
          </w:tcPr>
          <w:p w14:paraId="3C7C485D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分别从明文正向、密文反向计算中间状态并匹配，以攻击串联加密。</w:t>
            </w:r>
          </w:p>
        </w:tc>
      </w:tr>
      <w:tr w:rsidR="00926A87" w:rsidRPr="00581DF1" w14:paraId="6254238F" w14:textId="77777777">
        <w:tc>
          <w:tcPr>
            <w:tcW w:w="3186" w:type="dxa"/>
          </w:tcPr>
          <w:p w14:paraId="6635A47E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三重 DES / TDEA</w:t>
            </w:r>
          </w:p>
        </w:tc>
        <w:tc>
          <w:tcPr>
            <w:tcW w:w="6174" w:type="dxa"/>
          </w:tcPr>
          <w:p w14:paraId="32F45456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使用 DES 的加密-解密-加密序列的多重加密算法。</w:t>
            </w:r>
          </w:p>
        </w:tc>
      </w:tr>
      <w:tr w:rsidR="00926A87" w:rsidRPr="00581DF1" w14:paraId="2186791F" w14:textId="77777777">
        <w:tc>
          <w:tcPr>
            <w:tcW w:w="3186" w:type="dxa"/>
          </w:tcPr>
          <w:p w14:paraId="50E50741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ECB</w:t>
            </w:r>
          </w:p>
        </w:tc>
        <w:tc>
          <w:tcPr>
            <w:tcW w:w="6174" w:type="dxa"/>
          </w:tcPr>
          <w:p w14:paraId="7D542E7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对每个明文分组独立加密的电码本模式。</w:t>
            </w:r>
          </w:p>
        </w:tc>
      </w:tr>
      <w:tr w:rsidR="00926A87" w:rsidRPr="00581DF1" w14:paraId="35748A39" w14:textId="77777777">
        <w:tc>
          <w:tcPr>
            <w:tcW w:w="3186" w:type="dxa"/>
          </w:tcPr>
          <w:p w14:paraId="3EE16C9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CBC</w:t>
            </w:r>
          </w:p>
        </w:tc>
        <w:tc>
          <w:tcPr>
            <w:tcW w:w="6174" w:type="dxa"/>
          </w:tcPr>
          <w:p w14:paraId="6910680C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先将当前明文与前一密文 XOR 后加密的链接模式。</w:t>
            </w:r>
          </w:p>
        </w:tc>
      </w:tr>
      <w:tr w:rsidR="00926A87" w:rsidRPr="00581DF1" w14:paraId="6111666E" w14:textId="77777777">
        <w:tc>
          <w:tcPr>
            <w:tcW w:w="3186" w:type="dxa"/>
          </w:tcPr>
          <w:p w14:paraId="52E77BD5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CFB</w:t>
            </w:r>
          </w:p>
        </w:tc>
        <w:tc>
          <w:tcPr>
            <w:tcW w:w="6174" w:type="dxa"/>
          </w:tcPr>
          <w:p w14:paraId="15866D07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使用密文反馈、按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oMath>
            <w:r w:rsidRPr="00581DF1">
              <w:rPr>
                <w:rFonts w:asciiTheme="minorEastAsia" w:hAnsiTheme="minorEastAsia"/>
                <w:sz w:val="21"/>
                <w:szCs w:val="21"/>
              </w:rPr>
              <w:t xml:space="preserve"> 位处理的分组密码流模式。</w:t>
            </w:r>
          </w:p>
        </w:tc>
      </w:tr>
      <w:tr w:rsidR="00926A87" w:rsidRPr="00581DF1" w14:paraId="328AF4FE" w14:textId="77777777">
        <w:tc>
          <w:tcPr>
            <w:tcW w:w="3186" w:type="dxa"/>
          </w:tcPr>
          <w:p w14:paraId="73936F56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OFB</w:t>
            </w:r>
          </w:p>
        </w:tc>
        <w:tc>
          <w:tcPr>
            <w:tcW w:w="6174" w:type="dxa"/>
          </w:tcPr>
          <w:p w14:paraId="7A232D3A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使用加密输出反馈生成独立密钥流的模式。</w:t>
            </w:r>
          </w:p>
        </w:tc>
      </w:tr>
      <w:tr w:rsidR="00926A87" w:rsidRPr="00581DF1" w14:paraId="783A8F45" w14:textId="77777777">
        <w:tc>
          <w:tcPr>
            <w:tcW w:w="3186" w:type="dxa"/>
          </w:tcPr>
          <w:p w14:paraId="17E595E8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CTR</w:t>
            </w:r>
          </w:p>
        </w:tc>
        <w:tc>
          <w:tcPr>
            <w:tcW w:w="6174" w:type="dxa"/>
          </w:tcPr>
          <w:p w14:paraId="5DB4B2C1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加密唯一计数器并与数据 XOR 的模式。</w:t>
            </w:r>
          </w:p>
        </w:tc>
      </w:tr>
      <w:tr w:rsidR="00926A87" w:rsidRPr="00581DF1" w14:paraId="6F7F0032" w14:textId="77777777">
        <w:tc>
          <w:tcPr>
            <w:tcW w:w="3186" w:type="dxa"/>
          </w:tcPr>
          <w:p w14:paraId="79973F4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IV</w:t>
            </w:r>
          </w:p>
        </w:tc>
        <w:tc>
          <w:tcPr>
            <w:tcW w:w="6174" w:type="dxa"/>
          </w:tcPr>
          <w:p w14:paraId="3A627DC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用于 CBC、CFB、OFB 等模式的初始向量。</w:t>
            </w:r>
          </w:p>
        </w:tc>
      </w:tr>
      <w:tr w:rsidR="00926A87" w:rsidRPr="00581DF1" w14:paraId="797607A7" w14:textId="77777777">
        <w:tc>
          <w:tcPr>
            <w:tcW w:w="3186" w:type="dxa"/>
          </w:tcPr>
          <w:p w14:paraId="7637690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可调整分组密码</w:t>
            </w:r>
          </w:p>
        </w:tc>
        <w:tc>
          <w:tcPr>
            <w:tcW w:w="6174" w:type="dxa"/>
          </w:tcPr>
          <w:p w14:paraId="46C472D4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接受密钥、明文和非秘密调整值的分组密码。</w:t>
            </w:r>
          </w:p>
        </w:tc>
      </w:tr>
      <w:tr w:rsidR="00926A87" w:rsidRPr="00581DF1" w14:paraId="48283C60" w14:textId="77777777">
        <w:tc>
          <w:tcPr>
            <w:tcW w:w="3186" w:type="dxa"/>
          </w:tcPr>
          <w:p w14:paraId="40108D4D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XTS-AES</w:t>
            </w:r>
          </w:p>
        </w:tc>
        <w:tc>
          <w:tcPr>
            <w:tcW w:w="6174" w:type="dxa"/>
          </w:tcPr>
          <w:p w14:paraId="560991B9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面向扇区存储设备、以两个 AES 密钥和调整值工作的模式。</w:t>
            </w:r>
          </w:p>
        </w:tc>
      </w:tr>
      <w:tr w:rsidR="00926A87" w:rsidRPr="00581DF1" w14:paraId="694881E6" w14:textId="77777777">
        <w:tc>
          <w:tcPr>
            <w:tcW w:w="3186" w:type="dxa"/>
          </w:tcPr>
          <w:p w14:paraId="4AA1045E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FPE</w:t>
            </w:r>
          </w:p>
        </w:tc>
        <w:tc>
          <w:tcPr>
            <w:tcW w:w="6174" w:type="dxa"/>
          </w:tcPr>
          <w:p w14:paraId="1E316DA8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输出保持明文长度和格式的加密。</w:t>
            </w:r>
          </w:p>
        </w:tc>
      </w:tr>
      <w:tr w:rsidR="00926A87" w:rsidRPr="00581DF1" w14:paraId="330E41DA" w14:textId="77777777">
        <w:tc>
          <w:tcPr>
            <w:tcW w:w="3186" w:type="dxa"/>
          </w:tcPr>
          <w:p w14:paraId="1DAC336B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radix</w:t>
            </w:r>
          </w:p>
        </w:tc>
        <w:tc>
          <w:tcPr>
            <w:tcW w:w="6174" w:type="dxa"/>
          </w:tcPr>
          <w:p w14:paraId="723D41B2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FPE 字母表的字符数，即基数。</w:t>
            </w:r>
          </w:p>
        </w:tc>
      </w:tr>
      <w:tr w:rsidR="00926A87" w:rsidRPr="00581DF1" w14:paraId="683E973D" w14:textId="77777777">
        <w:tc>
          <w:tcPr>
            <w:tcW w:w="3186" w:type="dxa"/>
          </w:tcPr>
          <w:p w14:paraId="45010928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tweak</w:t>
            </w:r>
          </w:p>
        </w:tc>
        <w:tc>
          <w:tcPr>
            <w:tcW w:w="6174" w:type="dxa"/>
          </w:tcPr>
          <w:p w14:paraId="53C92FE0" w14:textId="77777777" w:rsidR="00926A87" w:rsidRPr="00581DF1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581DF1">
              <w:rPr>
                <w:rFonts w:asciiTheme="minorEastAsia" w:hAnsiTheme="minorEastAsia"/>
                <w:sz w:val="21"/>
                <w:szCs w:val="21"/>
              </w:rPr>
              <w:t>FPE 的非保密输入调整值。</w:t>
            </w:r>
          </w:p>
        </w:tc>
      </w:tr>
    </w:tbl>
    <w:p w14:paraId="443CEA75" w14:textId="77777777" w:rsidR="00926A87" w:rsidRPr="00581DF1" w:rsidRDefault="00000000">
      <w:pPr>
        <w:spacing w:before="24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 </w:t>
      </w:r>
    </w:p>
    <w:p w14:paraId="6FFB6889" w14:textId="77777777" w:rsidR="00926A87" w:rsidRPr="00581DF1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581DF1">
        <w:rPr>
          <w:rFonts w:asciiTheme="minorEastAsia" w:hAnsiTheme="minorEastAsia"/>
          <w:sz w:val="28"/>
          <w:szCs w:val="28"/>
        </w:rPr>
        <w:t>学习目标自检</w:t>
      </w:r>
    </w:p>
    <w:p w14:paraId="1AE64E67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1. 能说明双重 DES 虽不约化为单 DES，却为何不提供预期的 112 位安全性。</w:t>
      </w:r>
    </w:p>
    <w:p w14:paraId="105A77FF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2. 能给出中间相遇攻击的正向建表、反向查找、第二对明密文验证过程，并说明其计算与存储量级。</w:t>
      </w:r>
    </w:p>
    <w:p w14:paraId="79BA3C69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lastRenderedPageBreak/>
        <w:t>3. 能写出双密钥和三密钥 3DES 的 EDE 形式，并说明双密钥形式的 DES 兼容性。</w:t>
      </w:r>
    </w:p>
    <w:p w14:paraId="78AC92FC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4. 能比较 ECB、CBC、CFB、OFB、CTR 的链接方式、填充要求、IV/计数器要求与并行性。</w:t>
      </w:r>
    </w:p>
    <w:p w14:paraId="0F8FBDB8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5. 能说明 CBC 的 IV 必须不可预测且防篡改，以及 CTR 计数器值绝不能重复的原因。</w:t>
      </w:r>
    </w:p>
    <w:p w14:paraId="186DEC2D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6. 能解释 OFB 的误码不传播特性及其易受比特翻转修改的问题。</w:t>
      </w:r>
    </w:p>
    <w:p w14:paraId="4C0A33E4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7. 能写出 XTS-AES 的调整值 </w:t>
      </w:r>
      <m:oMath>
        <m:r>
          <w:rPr>
            <w:rFonts w:ascii="Cambria Math" w:hAnsi="Cambria Math"/>
            <w:sz w:val="21"/>
            <w:szCs w:val="21"/>
          </w:rPr>
          <m:t>T=E(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,i)⊗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j</m:t>
            </m:r>
          </m:sup>
        </m:sSup>
      </m:oMath>
      <w:r w:rsidRPr="00581DF1">
        <w:rPr>
          <w:rFonts w:asciiTheme="minorEastAsia" w:hAnsiTheme="minorEastAsia"/>
          <w:sz w:val="21"/>
          <w:szCs w:val="21"/>
        </w:rPr>
        <w:t xml:space="preserve">，说明 </w:t>
      </w:r>
      <m:oMath>
        <m:r>
          <w:rPr>
            <w:rFonts w:ascii="Cambria Math" w:hAnsi="Cambria Math"/>
            <w:sz w:val="21"/>
            <w:szCs w:val="21"/>
          </w:rPr>
          <m:t>i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与 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581DF1">
        <w:rPr>
          <w:rFonts w:asciiTheme="minorEastAsia" w:hAnsiTheme="minorEastAsia"/>
          <w:sz w:val="21"/>
          <w:szCs w:val="21"/>
        </w:rPr>
        <w:t xml:space="preserve"> 的不同作用。</w:t>
      </w:r>
    </w:p>
    <w:p w14:paraId="3E759ED9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8. 能说明 FPE 的应用动机、直接 AES 后取模不可逆的原因，以及调整值如何缓解短输入字典攻击。</w:t>
      </w:r>
    </w:p>
    <w:p w14:paraId="415BCFB0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 xml:space="preserve">9. 能利用 Feistel 轮的模加、模减关系解释 FPE 解密为何不要求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</m:oMath>
      <w:r w:rsidRPr="00581DF1">
        <w:rPr>
          <w:rFonts w:asciiTheme="minorEastAsia" w:hAnsiTheme="minorEastAsia"/>
          <w:sz w:val="21"/>
          <w:szCs w:val="21"/>
        </w:rPr>
        <w:t xml:space="preserve"> 可逆。</w:t>
      </w:r>
    </w:p>
    <w:p w14:paraId="7A3B5924" w14:textId="77777777" w:rsidR="00926A87" w:rsidRPr="00581DF1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581DF1">
        <w:rPr>
          <w:rFonts w:asciiTheme="minorEastAsia" w:hAnsiTheme="minorEastAsia"/>
          <w:sz w:val="21"/>
          <w:szCs w:val="21"/>
        </w:rPr>
        <w:t>10. 能概括 FF1、FF2、FF3 在轮数、轮函数与调整值灵活性上的差异。</w:t>
      </w:r>
    </w:p>
    <w:sectPr w:rsidR="00926A87" w:rsidRPr="00581DF1" w:rsidSect="00843095">
      <w:footerReference w:type="default" r:id="rId21"/>
      <w:pgSz w:w="10318" w:h="14570" w:code="13"/>
      <w:pgMar w:top="1440" w:right="1440" w:bottom="1440" w:left="1440" w:header="708" w:footer="708" w:gutter="0"/>
      <w:pgNumType w:start="12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C9FC7" w14:textId="77777777" w:rsidR="00477B8C" w:rsidRDefault="00477B8C" w:rsidP="00581DF1">
      <w:r>
        <w:separator/>
      </w:r>
    </w:p>
  </w:endnote>
  <w:endnote w:type="continuationSeparator" w:id="0">
    <w:p w14:paraId="5AA371F5" w14:textId="77777777" w:rsidR="00477B8C" w:rsidRDefault="00477B8C" w:rsidP="00581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CBD35" w14:textId="784CEBC1" w:rsidR="00843095" w:rsidRDefault="00843095">
    <w:pPr>
      <w:pStyle w:val="ab"/>
      <w:jc w:val="center"/>
      <w:rPr>
        <w:rFonts w:hint="eastAsia"/>
      </w:rPr>
    </w:pPr>
    <w:r>
      <w:rPr>
        <w:rFonts w:hint="eastAsia"/>
      </w:rPr>
      <w:t>第七章</w:t>
    </w:r>
    <w:r>
      <w:rPr>
        <w:rFonts w:hint="eastAsia"/>
      </w:rPr>
      <w:t xml:space="preserve"> </w:t>
    </w:r>
    <w:r>
      <w:rPr>
        <w:rFonts w:hint="eastAsia"/>
      </w:rPr>
      <w:t>·</w:t>
    </w:r>
    <w:r>
      <w:rPr>
        <w:rFonts w:hint="eastAsia"/>
      </w:rPr>
      <w:t xml:space="preserve"> </w:t>
    </w:r>
    <w:sdt>
      <w:sdtPr>
        <w:id w:val="-64458805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115CFB96" w14:textId="77777777" w:rsidR="00581DF1" w:rsidRDefault="00581DF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74309" w14:textId="77777777" w:rsidR="00477B8C" w:rsidRDefault="00477B8C" w:rsidP="00581DF1">
      <w:r>
        <w:separator/>
      </w:r>
    </w:p>
  </w:footnote>
  <w:footnote w:type="continuationSeparator" w:id="0">
    <w:p w14:paraId="53A98C92" w14:textId="77777777" w:rsidR="00477B8C" w:rsidRDefault="00477B8C" w:rsidP="00581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BBB"/>
    <w:multiLevelType w:val="hybridMultilevel"/>
    <w:tmpl w:val="8BBE9A60"/>
    <w:lvl w:ilvl="0" w:tplc="04090001">
      <w:start w:val="1"/>
      <w:numFmt w:val="bullet"/>
      <w:lvlText w:val=""/>
      <w:lvlJc w:val="left"/>
      <w:pPr>
        <w:ind w:left="420" w:hanging="180"/>
      </w:pPr>
      <w:rPr>
        <w:rFonts w:ascii="Wingdings" w:hAnsi="Wingdings" w:hint="default"/>
      </w:r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1" w15:restartNumberingAfterBreak="0">
    <w:nsid w:val="16E86FB3"/>
    <w:multiLevelType w:val="hybridMultilevel"/>
    <w:tmpl w:val="D862D848"/>
    <w:lvl w:ilvl="0" w:tplc="66E6E748">
      <w:numFmt w:val="bullet"/>
      <w:lvlText w:val=""/>
      <w:lvlJc w:val="left"/>
      <w:pPr>
        <w:ind w:left="420" w:hanging="180"/>
      </w:pPr>
      <w:rPr>
        <w:rFonts w:ascii="Wingdings" w:eastAsia="宋体" w:hAnsi="Wingdings" w:cs="Arial" w:hint="default"/>
      </w:rPr>
    </w:lvl>
    <w:lvl w:ilvl="1" w:tplc="3C0C0B7A">
      <w:start w:val="1"/>
      <w:numFmt w:val="bullet"/>
      <w:suff w:val="space"/>
      <w:lvlText w:val="○"/>
      <w:lvlJc w:val="left"/>
      <w:pPr>
        <w:ind w:left="840" w:hanging="180"/>
      </w:pPr>
    </w:lvl>
    <w:lvl w:ilvl="2" w:tplc="A0381EAE">
      <w:start w:val="1"/>
      <w:numFmt w:val="bullet"/>
      <w:suff w:val="space"/>
      <w:lvlText w:val="■"/>
      <w:lvlJc w:val="left"/>
      <w:pPr>
        <w:ind w:left="1260" w:hanging="180"/>
      </w:pPr>
    </w:lvl>
    <w:lvl w:ilvl="3" w:tplc="7458C6AC">
      <w:start w:val="1"/>
      <w:numFmt w:val="bullet"/>
      <w:suff w:val="space"/>
      <w:lvlText w:val="●"/>
      <w:lvlJc w:val="left"/>
      <w:pPr>
        <w:ind w:left="1680" w:hanging="180"/>
      </w:pPr>
    </w:lvl>
    <w:lvl w:ilvl="4" w:tplc="48F09DC2">
      <w:start w:val="1"/>
      <w:numFmt w:val="bullet"/>
      <w:suff w:val="space"/>
      <w:lvlText w:val="○"/>
      <w:lvlJc w:val="left"/>
      <w:pPr>
        <w:ind w:left="2100" w:hanging="180"/>
      </w:pPr>
    </w:lvl>
    <w:lvl w:ilvl="5" w:tplc="8C0C1550">
      <w:start w:val="1"/>
      <w:numFmt w:val="bullet"/>
      <w:suff w:val="space"/>
      <w:lvlText w:val="■"/>
      <w:lvlJc w:val="left"/>
      <w:pPr>
        <w:ind w:left="2520" w:hanging="180"/>
      </w:pPr>
    </w:lvl>
    <w:lvl w:ilvl="6" w:tplc="F33A8A4C">
      <w:start w:val="1"/>
      <w:numFmt w:val="bullet"/>
      <w:suff w:val="space"/>
      <w:lvlText w:val="●"/>
      <w:lvlJc w:val="left"/>
      <w:pPr>
        <w:ind w:left="2940" w:hanging="180"/>
      </w:pPr>
    </w:lvl>
    <w:lvl w:ilvl="7" w:tplc="10B69A06">
      <w:start w:val="1"/>
      <w:numFmt w:val="bullet"/>
      <w:suff w:val="space"/>
      <w:lvlText w:val="○"/>
      <w:lvlJc w:val="left"/>
      <w:pPr>
        <w:ind w:left="3360" w:hanging="180"/>
      </w:pPr>
    </w:lvl>
    <w:lvl w:ilvl="8" w:tplc="4A6436D2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2" w15:restartNumberingAfterBreak="0">
    <w:nsid w:val="25FE405F"/>
    <w:multiLevelType w:val="hybridMultilevel"/>
    <w:tmpl w:val="684A4FF4"/>
    <w:lvl w:ilvl="0" w:tplc="66E6E748">
      <w:numFmt w:val="bullet"/>
      <w:lvlText w:val=""/>
      <w:lvlJc w:val="left"/>
      <w:pPr>
        <w:ind w:left="42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3" w15:restartNumberingAfterBreak="0">
    <w:nsid w:val="2E29258B"/>
    <w:multiLevelType w:val="hybridMultilevel"/>
    <w:tmpl w:val="D2629C40"/>
    <w:lvl w:ilvl="0" w:tplc="0409000F">
      <w:start w:val="1"/>
      <w:numFmt w:val="decimal"/>
      <w:lvlText w:val="%1."/>
      <w:lvlJc w:val="left"/>
      <w:pPr>
        <w:ind w:left="420" w:hanging="180"/>
      </w:p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4" w15:restartNumberingAfterBreak="0">
    <w:nsid w:val="3BD76F28"/>
    <w:multiLevelType w:val="hybridMultilevel"/>
    <w:tmpl w:val="EC3C6060"/>
    <w:lvl w:ilvl="0" w:tplc="A252BBF6">
      <w:start w:val="1"/>
      <w:numFmt w:val="bullet"/>
      <w:lvlText w:val="●"/>
      <w:lvlJc w:val="left"/>
      <w:pPr>
        <w:ind w:left="720" w:hanging="360"/>
      </w:pPr>
    </w:lvl>
    <w:lvl w:ilvl="1" w:tplc="8412351A">
      <w:start w:val="1"/>
      <w:numFmt w:val="bullet"/>
      <w:lvlText w:val="○"/>
      <w:lvlJc w:val="left"/>
      <w:pPr>
        <w:ind w:left="1440" w:hanging="360"/>
      </w:pPr>
    </w:lvl>
    <w:lvl w:ilvl="2" w:tplc="AFE68710">
      <w:start w:val="1"/>
      <w:numFmt w:val="bullet"/>
      <w:lvlText w:val="■"/>
      <w:lvlJc w:val="left"/>
      <w:pPr>
        <w:ind w:left="2160" w:hanging="360"/>
      </w:pPr>
    </w:lvl>
    <w:lvl w:ilvl="3" w:tplc="FDFAFE36">
      <w:start w:val="1"/>
      <w:numFmt w:val="bullet"/>
      <w:lvlText w:val="●"/>
      <w:lvlJc w:val="left"/>
      <w:pPr>
        <w:ind w:left="2880" w:hanging="360"/>
      </w:pPr>
    </w:lvl>
    <w:lvl w:ilvl="4" w:tplc="F586A9E4">
      <w:start w:val="1"/>
      <w:numFmt w:val="bullet"/>
      <w:lvlText w:val="○"/>
      <w:lvlJc w:val="left"/>
      <w:pPr>
        <w:ind w:left="3600" w:hanging="360"/>
      </w:pPr>
    </w:lvl>
    <w:lvl w:ilvl="5" w:tplc="004A7054">
      <w:start w:val="1"/>
      <w:numFmt w:val="bullet"/>
      <w:lvlText w:val="■"/>
      <w:lvlJc w:val="left"/>
      <w:pPr>
        <w:ind w:left="4320" w:hanging="360"/>
      </w:pPr>
    </w:lvl>
    <w:lvl w:ilvl="6" w:tplc="AD2846A4">
      <w:start w:val="1"/>
      <w:numFmt w:val="bullet"/>
      <w:lvlText w:val="●"/>
      <w:lvlJc w:val="left"/>
      <w:pPr>
        <w:ind w:left="5040" w:hanging="360"/>
      </w:pPr>
    </w:lvl>
    <w:lvl w:ilvl="7" w:tplc="602A86E4">
      <w:start w:val="1"/>
      <w:numFmt w:val="bullet"/>
      <w:lvlText w:val="●"/>
      <w:lvlJc w:val="left"/>
      <w:pPr>
        <w:ind w:left="5760" w:hanging="360"/>
      </w:pPr>
    </w:lvl>
    <w:lvl w:ilvl="8" w:tplc="67FA68B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5033C4B"/>
    <w:multiLevelType w:val="hybridMultilevel"/>
    <w:tmpl w:val="026C43FE"/>
    <w:lvl w:ilvl="0" w:tplc="0409000F">
      <w:start w:val="1"/>
      <w:numFmt w:val="decimal"/>
      <w:lvlText w:val="%1."/>
      <w:lvlJc w:val="left"/>
      <w:pPr>
        <w:ind w:left="420" w:hanging="180"/>
      </w:pPr>
      <w:rPr>
        <w:rFonts w:hint="default"/>
      </w:r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num w:numId="1" w16cid:durableId="638654523">
    <w:abstractNumId w:val="4"/>
    <w:lvlOverride w:ilvl="0">
      <w:startOverride w:val="1"/>
    </w:lvlOverride>
  </w:num>
  <w:num w:numId="2" w16cid:durableId="575632861">
    <w:abstractNumId w:val="1"/>
  </w:num>
  <w:num w:numId="3" w16cid:durableId="1987851027">
    <w:abstractNumId w:val="1"/>
  </w:num>
  <w:num w:numId="4" w16cid:durableId="198397269">
    <w:abstractNumId w:val="3"/>
  </w:num>
  <w:num w:numId="5" w16cid:durableId="1482963739">
    <w:abstractNumId w:val="0"/>
  </w:num>
  <w:num w:numId="6" w16cid:durableId="862015924">
    <w:abstractNumId w:val="2"/>
  </w:num>
  <w:num w:numId="7" w16cid:durableId="1336302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A87"/>
    <w:rsid w:val="00060AA7"/>
    <w:rsid w:val="000C26FB"/>
    <w:rsid w:val="000F77DB"/>
    <w:rsid w:val="001E5A24"/>
    <w:rsid w:val="001F2FBD"/>
    <w:rsid w:val="001F3543"/>
    <w:rsid w:val="00221ACC"/>
    <w:rsid w:val="00267BC6"/>
    <w:rsid w:val="002733BF"/>
    <w:rsid w:val="002F0640"/>
    <w:rsid w:val="00337F57"/>
    <w:rsid w:val="00342154"/>
    <w:rsid w:val="00365FE8"/>
    <w:rsid w:val="00411A81"/>
    <w:rsid w:val="004545DF"/>
    <w:rsid w:val="00477B8C"/>
    <w:rsid w:val="0052371A"/>
    <w:rsid w:val="00581DF1"/>
    <w:rsid w:val="006D2F24"/>
    <w:rsid w:val="0070194D"/>
    <w:rsid w:val="00843095"/>
    <w:rsid w:val="008838BB"/>
    <w:rsid w:val="008B7127"/>
    <w:rsid w:val="008E23B9"/>
    <w:rsid w:val="008F4F12"/>
    <w:rsid w:val="00903FBA"/>
    <w:rsid w:val="00905891"/>
    <w:rsid w:val="00926A87"/>
    <w:rsid w:val="009E2AB4"/>
    <w:rsid w:val="009F5592"/>
    <w:rsid w:val="00A4652A"/>
    <w:rsid w:val="00B66702"/>
    <w:rsid w:val="00C93389"/>
    <w:rsid w:val="00CA7BBB"/>
    <w:rsid w:val="00E24189"/>
    <w:rsid w:val="00E56665"/>
    <w:rsid w:val="00EB1D0C"/>
    <w:rsid w:val="00EE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E68B"/>
  <w15:docId w15:val="{D4D7C816-C46F-4107-AEAE-2E3E3870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581D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81DF1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81D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81DF1"/>
    <w:rPr>
      <w:sz w:val="18"/>
      <w:szCs w:val="18"/>
    </w:rPr>
  </w:style>
  <w:style w:type="table" w:styleId="ad">
    <w:name w:val="Table Grid"/>
    <w:basedOn w:val="a1"/>
    <w:uiPriority w:val="39"/>
    <w:rsid w:val="00701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1558</Words>
  <Characters>8883</Characters>
  <Application>Microsoft Office Word</Application>
  <DocSecurity>0</DocSecurity>
  <Lines>74</Lines>
  <Paragraphs>20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36</cp:revision>
  <dcterms:created xsi:type="dcterms:W3CDTF">2026-08-06T14:38:00Z</dcterms:created>
  <dcterms:modified xsi:type="dcterms:W3CDTF">2026-08-06T15:02:00Z</dcterms:modified>
</cp:coreProperties>
</file>