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9B64D" w14:textId="77777777" w:rsidR="005A6FD7" w:rsidRPr="005A6FD7" w:rsidRDefault="005A6FD7" w:rsidP="005A6FD7">
      <w:pPr>
        <w:rPr>
          <w:b/>
          <w:bCs/>
        </w:rPr>
      </w:pPr>
      <w:r w:rsidRPr="005A6FD7">
        <w:rPr>
          <w:b/>
          <w:bCs/>
        </w:rPr>
        <w:t>Long-Term Wealth-Building Roadmap</w:t>
      </w:r>
    </w:p>
    <w:p w14:paraId="3C635275" w14:textId="77777777" w:rsidR="005A6FD7" w:rsidRPr="005A6FD7" w:rsidRDefault="005A6FD7" w:rsidP="005A6FD7">
      <w:pPr>
        <w:rPr>
          <w:b/>
          <w:bCs/>
        </w:rPr>
      </w:pPr>
      <w:r w:rsidRPr="005A6FD7">
        <w:rPr>
          <w:b/>
          <w:bCs/>
        </w:rPr>
        <w:t>Complementing an Algorithmic Trading Strategy with a Global ETF Portfolio</w:t>
      </w:r>
    </w:p>
    <w:p w14:paraId="495F2BF8" w14:textId="77777777" w:rsidR="005A6FD7" w:rsidRPr="005A6FD7" w:rsidRDefault="005A6FD7" w:rsidP="005A6FD7">
      <w:r w:rsidRPr="005A6FD7">
        <w:rPr>
          <w:i/>
          <w:iCs/>
        </w:rPr>
        <w:t>Prepared for a Netherlands-based investor | 20–30+ year horizon | High risk tolerance</w:t>
      </w:r>
    </w:p>
    <w:p w14:paraId="63269E49" w14:textId="77777777" w:rsidR="005A6FD7" w:rsidRPr="005A6FD7" w:rsidRDefault="005A6FD7" w:rsidP="005A6FD7">
      <w:r w:rsidRPr="005A6FD7">
        <w:rPr>
          <w:b/>
          <w:bCs/>
        </w:rPr>
        <w:t>Disclaimer:</w:t>
      </w:r>
      <w:r w:rsidRPr="005A6FD7">
        <w:t xml:space="preserve"> I'm not a licensed financial advisor. This is educational, evidence-based information to help you make your own decisions, not personalized financial advice. ETF prices, TERs, and fund sizes shift over time — verify current data on </w:t>
      </w:r>
      <w:proofErr w:type="spellStart"/>
      <w:r w:rsidRPr="005A6FD7">
        <w:t>justETF</w:t>
      </w:r>
      <w:proofErr w:type="spellEnd"/>
      <w:r w:rsidRPr="005A6FD7">
        <w:t>, the issuer's site, or your broker before trading. Past performance never guarantees future returns, and all equity investing carries the risk of loss, including in severe or prolonged drawdowns.</w:t>
      </w:r>
    </w:p>
    <w:p w14:paraId="5B934483" w14:textId="77777777" w:rsidR="005A6FD7" w:rsidRPr="005A6FD7" w:rsidRDefault="005A6FD7" w:rsidP="005A6FD7">
      <w:r w:rsidRPr="005A6FD7">
        <w:pict w14:anchorId="59E21BD8">
          <v:rect id="_x0000_i1085" style="width:0;height:1.5pt" o:hralign="center" o:hrstd="t" o:hr="t" fillcolor="#a0a0a0" stroked="f"/>
        </w:pict>
      </w:r>
    </w:p>
    <w:p w14:paraId="3BB8484E" w14:textId="77777777" w:rsidR="005A6FD7" w:rsidRPr="005A6FD7" w:rsidRDefault="005A6FD7" w:rsidP="005A6FD7">
      <w:pPr>
        <w:rPr>
          <w:b/>
          <w:bCs/>
        </w:rPr>
      </w:pPr>
      <w:r w:rsidRPr="005A6FD7">
        <w:rPr>
          <w:b/>
          <w:bCs/>
        </w:rPr>
        <w:t>0. The Framework</w:t>
      </w:r>
    </w:p>
    <w:p w14:paraId="27BAB5B3" w14:textId="77777777" w:rsidR="005A6FD7" w:rsidRPr="005A6FD7" w:rsidRDefault="005A6FD7" w:rsidP="005A6FD7">
      <w:r w:rsidRPr="005A6FD7">
        <w:t>Your income engine (the trading algorithm) and your wealth-preservation engine (the ETF portfolio) should behave completely differently: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3"/>
        <w:gridCol w:w="4412"/>
        <w:gridCol w:w="3551"/>
      </w:tblGrid>
      <w:tr w:rsidR="005A6FD7" w:rsidRPr="005A6FD7" w14:paraId="79176ADA" w14:textId="77777777">
        <w:trPr>
          <w:tblHeader/>
          <w:tblCellSpacing w:w="15" w:type="dxa"/>
        </w:trPr>
        <w:tc>
          <w:tcPr>
            <w:tcW w:w="0" w:type="auto"/>
            <w:vAlign w:val="center"/>
            <w:hideMark/>
          </w:tcPr>
          <w:p w14:paraId="40D953F1" w14:textId="77777777" w:rsidR="005A6FD7" w:rsidRPr="005A6FD7" w:rsidRDefault="005A6FD7" w:rsidP="005A6FD7"/>
        </w:tc>
        <w:tc>
          <w:tcPr>
            <w:tcW w:w="0" w:type="auto"/>
            <w:vAlign w:val="center"/>
            <w:hideMark/>
          </w:tcPr>
          <w:p w14:paraId="6C761C11" w14:textId="77777777" w:rsidR="005A6FD7" w:rsidRPr="005A6FD7" w:rsidRDefault="005A6FD7" w:rsidP="005A6FD7">
            <w:pPr>
              <w:rPr>
                <w:b/>
                <w:bCs/>
              </w:rPr>
            </w:pPr>
            <w:r w:rsidRPr="005A6FD7">
              <w:rPr>
                <w:b/>
                <w:bCs/>
              </w:rPr>
              <w:t>Trading algorithm</w:t>
            </w:r>
          </w:p>
        </w:tc>
        <w:tc>
          <w:tcPr>
            <w:tcW w:w="0" w:type="auto"/>
            <w:vAlign w:val="center"/>
            <w:hideMark/>
          </w:tcPr>
          <w:p w14:paraId="0A1F9803" w14:textId="77777777" w:rsidR="005A6FD7" w:rsidRPr="005A6FD7" w:rsidRDefault="005A6FD7" w:rsidP="005A6FD7">
            <w:pPr>
              <w:rPr>
                <w:b/>
                <w:bCs/>
              </w:rPr>
            </w:pPr>
            <w:r w:rsidRPr="005A6FD7">
              <w:rPr>
                <w:b/>
                <w:bCs/>
              </w:rPr>
              <w:t>ETF portfolio</w:t>
            </w:r>
          </w:p>
        </w:tc>
      </w:tr>
      <w:tr w:rsidR="005A6FD7" w:rsidRPr="005A6FD7" w14:paraId="31ABA660" w14:textId="77777777">
        <w:trPr>
          <w:tblCellSpacing w:w="15" w:type="dxa"/>
        </w:trPr>
        <w:tc>
          <w:tcPr>
            <w:tcW w:w="0" w:type="auto"/>
            <w:vAlign w:val="center"/>
            <w:hideMark/>
          </w:tcPr>
          <w:p w14:paraId="126B1D24" w14:textId="77777777" w:rsidR="005A6FD7" w:rsidRPr="005A6FD7" w:rsidRDefault="005A6FD7" w:rsidP="005A6FD7">
            <w:r w:rsidRPr="005A6FD7">
              <w:t>Goal</w:t>
            </w:r>
          </w:p>
        </w:tc>
        <w:tc>
          <w:tcPr>
            <w:tcW w:w="0" w:type="auto"/>
            <w:vAlign w:val="center"/>
            <w:hideMark/>
          </w:tcPr>
          <w:p w14:paraId="3249AFF1" w14:textId="77777777" w:rsidR="005A6FD7" w:rsidRPr="005A6FD7" w:rsidRDefault="005A6FD7" w:rsidP="005A6FD7">
            <w:r w:rsidRPr="005A6FD7">
              <w:t>Active alpha generation</w:t>
            </w:r>
          </w:p>
        </w:tc>
        <w:tc>
          <w:tcPr>
            <w:tcW w:w="0" w:type="auto"/>
            <w:vAlign w:val="center"/>
            <w:hideMark/>
          </w:tcPr>
          <w:p w14:paraId="4FEF7D6D" w14:textId="77777777" w:rsidR="005A6FD7" w:rsidRPr="005A6FD7" w:rsidRDefault="005A6FD7" w:rsidP="005A6FD7">
            <w:r w:rsidRPr="005A6FD7">
              <w:t>Passive capture of global growth</w:t>
            </w:r>
          </w:p>
        </w:tc>
      </w:tr>
      <w:tr w:rsidR="005A6FD7" w:rsidRPr="005A6FD7" w14:paraId="4E9D4CC5" w14:textId="77777777">
        <w:trPr>
          <w:tblCellSpacing w:w="15" w:type="dxa"/>
        </w:trPr>
        <w:tc>
          <w:tcPr>
            <w:tcW w:w="0" w:type="auto"/>
            <w:vAlign w:val="center"/>
            <w:hideMark/>
          </w:tcPr>
          <w:p w14:paraId="211A7A4F" w14:textId="77777777" w:rsidR="005A6FD7" w:rsidRPr="005A6FD7" w:rsidRDefault="005A6FD7" w:rsidP="005A6FD7">
            <w:r w:rsidRPr="005A6FD7">
              <w:t>Time horizon</w:t>
            </w:r>
          </w:p>
        </w:tc>
        <w:tc>
          <w:tcPr>
            <w:tcW w:w="0" w:type="auto"/>
            <w:vAlign w:val="center"/>
            <w:hideMark/>
          </w:tcPr>
          <w:p w14:paraId="0FD2DC7A" w14:textId="77777777" w:rsidR="005A6FD7" w:rsidRPr="005A6FD7" w:rsidRDefault="005A6FD7" w:rsidP="005A6FD7">
            <w:r w:rsidRPr="005A6FD7">
              <w:t>Ongoing, compounding within itself</w:t>
            </w:r>
          </w:p>
        </w:tc>
        <w:tc>
          <w:tcPr>
            <w:tcW w:w="0" w:type="auto"/>
            <w:vAlign w:val="center"/>
            <w:hideMark/>
          </w:tcPr>
          <w:p w14:paraId="2760FB81" w14:textId="77777777" w:rsidR="005A6FD7" w:rsidRPr="005A6FD7" w:rsidRDefault="005A6FD7" w:rsidP="005A6FD7">
            <w:r w:rsidRPr="005A6FD7">
              <w:t>20–30+ years, untouched</w:t>
            </w:r>
          </w:p>
        </w:tc>
      </w:tr>
      <w:tr w:rsidR="005A6FD7" w:rsidRPr="005A6FD7" w14:paraId="36031942" w14:textId="77777777">
        <w:trPr>
          <w:tblCellSpacing w:w="15" w:type="dxa"/>
        </w:trPr>
        <w:tc>
          <w:tcPr>
            <w:tcW w:w="0" w:type="auto"/>
            <w:vAlign w:val="center"/>
            <w:hideMark/>
          </w:tcPr>
          <w:p w14:paraId="0396F14B" w14:textId="77777777" w:rsidR="005A6FD7" w:rsidRPr="005A6FD7" w:rsidRDefault="005A6FD7" w:rsidP="005A6FD7">
            <w:r w:rsidRPr="005A6FD7">
              <w:t>Risk</w:t>
            </w:r>
          </w:p>
        </w:tc>
        <w:tc>
          <w:tcPr>
            <w:tcW w:w="0" w:type="auto"/>
            <w:vAlign w:val="center"/>
            <w:hideMark/>
          </w:tcPr>
          <w:p w14:paraId="50B387E9" w14:textId="77777777" w:rsidR="005A6FD7" w:rsidRPr="005A6FD7" w:rsidRDefault="005A6FD7" w:rsidP="005A6FD7">
            <w:r w:rsidRPr="005A6FD7">
              <w:t>Strategy/model risk, drawdown risk, "black swan" risk to the edge itself</w:t>
            </w:r>
          </w:p>
        </w:tc>
        <w:tc>
          <w:tcPr>
            <w:tcW w:w="0" w:type="auto"/>
            <w:vAlign w:val="center"/>
            <w:hideMark/>
          </w:tcPr>
          <w:p w14:paraId="1271E24B" w14:textId="77777777" w:rsidR="005A6FD7" w:rsidRPr="005A6FD7" w:rsidRDefault="005A6FD7" w:rsidP="005A6FD7">
            <w:r w:rsidRPr="005A6FD7">
              <w:t>Market risk, diversified across thousands of companies</w:t>
            </w:r>
          </w:p>
        </w:tc>
      </w:tr>
      <w:tr w:rsidR="005A6FD7" w:rsidRPr="005A6FD7" w14:paraId="03A3B452" w14:textId="77777777">
        <w:trPr>
          <w:tblCellSpacing w:w="15" w:type="dxa"/>
        </w:trPr>
        <w:tc>
          <w:tcPr>
            <w:tcW w:w="0" w:type="auto"/>
            <w:vAlign w:val="center"/>
            <w:hideMark/>
          </w:tcPr>
          <w:p w14:paraId="2FECD3CA" w14:textId="77777777" w:rsidR="005A6FD7" w:rsidRPr="005A6FD7" w:rsidRDefault="005A6FD7" w:rsidP="005A6FD7">
            <w:r w:rsidRPr="005A6FD7">
              <w:t>Role</w:t>
            </w:r>
          </w:p>
        </w:tc>
        <w:tc>
          <w:tcPr>
            <w:tcW w:w="0" w:type="auto"/>
            <w:vAlign w:val="center"/>
            <w:hideMark/>
          </w:tcPr>
          <w:p w14:paraId="2B85CBEB" w14:textId="77777777" w:rsidR="005A6FD7" w:rsidRPr="005A6FD7" w:rsidRDefault="005A6FD7" w:rsidP="005A6FD7">
            <w:r w:rsidRPr="005A6FD7">
              <w:t>Your income generator</w:t>
            </w:r>
          </w:p>
        </w:tc>
        <w:tc>
          <w:tcPr>
            <w:tcW w:w="0" w:type="auto"/>
            <w:vAlign w:val="center"/>
            <w:hideMark/>
          </w:tcPr>
          <w:p w14:paraId="46ECC08D" w14:textId="77777777" w:rsidR="005A6FD7" w:rsidRPr="005A6FD7" w:rsidRDefault="005A6FD7" w:rsidP="005A6FD7">
            <w:r w:rsidRPr="005A6FD7">
              <w:t xml:space="preserve">Your </w:t>
            </w:r>
            <w:r w:rsidRPr="005A6FD7">
              <w:rPr>
                <w:b/>
                <w:bCs/>
              </w:rPr>
              <w:t>insurance policy</w:t>
            </w:r>
            <w:r w:rsidRPr="005A6FD7">
              <w:t xml:space="preserve"> if the algorithm ever stops working</w:t>
            </w:r>
          </w:p>
        </w:tc>
      </w:tr>
    </w:tbl>
    <w:p w14:paraId="3A497220" w14:textId="77777777" w:rsidR="005A6FD7" w:rsidRPr="005A6FD7" w:rsidRDefault="005A6FD7" w:rsidP="005A6FD7">
      <w:r w:rsidRPr="005A6FD7">
        <w:t xml:space="preserve">This is the single most important idea in this plan: </w:t>
      </w:r>
      <w:r w:rsidRPr="005A6FD7">
        <w:rPr>
          <w:b/>
          <w:bCs/>
        </w:rPr>
        <w:t>the ETF portfolio's job is to be uncorrelated with your trading algorithm's specific risks.</w:t>
      </w:r>
      <w:r w:rsidRPr="005A6FD7">
        <w:t xml:space="preserve"> If your algorithm's edge decays, gets arbitraged away, or blows up in an unusual market regime — as quant edges eventually can — the ETF portfolio keeps compounding regardless. Every euro that leaves the trading system and becomes globally diversified equity is a euro that no longer depends on your algorithm continuing to work.</w:t>
      </w:r>
    </w:p>
    <w:p w14:paraId="2EAC0247" w14:textId="77777777" w:rsidR="005A6FD7" w:rsidRPr="005A6FD7" w:rsidRDefault="005A6FD7" w:rsidP="005A6FD7">
      <w:r w:rsidRPr="005A6FD7">
        <w:pict w14:anchorId="52530A01">
          <v:rect id="_x0000_i1086" style="width:0;height:1.5pt" o:hralign="center" o:hrstd="t" o:hr="t" fillcolor="#a0a0a0" stroked="f"/>
        </w:pict>
      </w:r>
    </w:p>
    <w:p w14:paraId="17E030AB" w14:textId="77777777" w:rsidR="005A6FD7" w:rsidRPr="005A6FD7" w:rsidRDefault="005A6FD7" w:rsidP="005A6FD7">
      <w:pPr>
        <w:rPr>
          <w:b/>
          <w:bCs/>
        </w:rPr>
      </w:pPr>
      <w:r w:rsidRPr="005A6FD7">
        <w:rPr>
          <w:b/>
          <w:bCs/>
        </w:rPr>
        <w:t>1. Core ETF Strategy: MSCI World vs. FTSE All-World vs. S&amp;P 500 vs. Nasdaq-100</w:t>
      </w:r>
    </w:p>
    <w:p w14:paraId="0EB7BF8E" w14:textId="77777777" w:rsidR="005A6FD7" w:rsidRPr="005A6FD7" w:rsidRDefault="005A6FD7" w:rsidP="005A6FD7">
      <w:pPr>
        <w:rPr>
          <w:b/>
          <w:bCs/>
        </w:rPr>
      </w:pPr>
      <w:r w:rsidRPr="005A6FD7">
        <w:rPr>
          <w:b/>
          <w:bCs/>
        </w:rPr>
        <w:t xml:space="preserve">What each index </w:t>
      </w:r>
      <w:proofErr w:type="gramStart"/>
      <w:r w:rsidRPr="005A6FD7">
        <w:rPr>
          <w:b/>
          <w:bCs/>
        </w:rPr>
        <w:t>actually is</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3604"/>
        <w:gridCol w:w="1879"/>
        <w:gridCol w:w="2094"/>
      </w:tblGrid>
      <w:tr w:rsidR="005A6FD7" w:rsidRPr="005A6FD7" w14:paraId="768C48B3" w14:textId="77777777">
        <w:trPr>
          <w:tblHeader/>
          <w:tblCellSpacing w:w="15" w:type="dxa"/>
        </w:trPr>
        <w:tc>
          <w:tcPr>
            <w:tcW w:w="0" w:type="auto"/>
            <w:vAlign w:val="center"/>
            <w:hideMark/>
          </w:tcPr>
          <w:p w14:paraId="3A3C5D3D" w14:textId="77777777" w:rsidR="005A6FD7" w:rsidRPr="005A6FD7" w:rsidRDefault="005A6FD7" w:rsidP="005A6FD7">
            <w:pPr>
              <w:rPr>
                <w:b/>
                <w:bCs/>
              </w:rPr>
            </w:pPr>
            <w:r w:rsidRPr="005A6FD7">
              <w:rPr>
                <w:b/>
                <w:bCs/>
              </w:rPr>
              <w:t>Index</w:t>
            </w:r>
          </w:p>
        </w:tc>
        <w:tc>
          <w:tcPr>
            <w:tcW w:w="0" w:type="auto"/>
            <w:vAlign w:val="center"/>
            <w:hideMark/>
          </w:tcPr>
          <w:p w14:paraId="38D1BEE8" w14:textId="77777777" w:rsidR="005A6FD7" w:rsidRPr="005A6FD7" w:rsidRDefault="005A6FD7" w:rsidP="005A6FD7">
            <w:pPr>
              <w:rPr>
                <w:b/>
                <w:bCs/>
              </w:rPr>
            </w:pPr>
            <w:r w:rsidRPr="005A6FD7">
              <w:rPr>
                <w:b/>
                <w:bCs/>
              </w:rPr>
              <w:t>Coverage</w:t>
            </w:r>
          </w:p>
        </w:tc>
        <w:tc>
          <w:tcPr>
            <w:tcW w:w="0" w:type="auto"/>
            <w:vAlign w:val="center"/>
            <w:hideMark/>
          </w:tcPr>
          <w:p w14:paraId="6195AAA3" w14:textId="77777777" w:rsidR="005A6FD7" w:rsidRPr="005A6FD7" w:rsidRDefault="005A6FD7" w:rsidP="005A6FD7">
            <w:pPr>
              <w:rPr>
                <w:b/>
                <w:bCs/>
              </w:rPr>
            </w:pPr>
            <w:r w:rsidRPr="005A6FD7">
              <w:rPr>
                <w:b/>
                <w:bCs/>
              </w:rPr>
              <w:t># Holdings (approx.)</w:t>
            </w:r>
          </w:p>
        </w:tc>
        <w:tc>
          <w:tcPr>
            <w:tcW w:w="0" w:type="auto"/>
            <w:vAlign w:val="center"/>
            <w:hideMark/>
          </w:tcPr>
          <w:p w14:paraId="45C01FAF" w14:textId="77777777" w:rsidR="005A6FD7" w:rsidRPr="005A6FD7" w:rsidRDefault="005A6FD7" w:rsidP="005A6FD7">
            <w:pPr>
              <w:rPr>
                <w:b/>
                <w:bCs/>
              </w:rPr>
            </w:pPr>
            <w:r w:rsidRPr="005A6FD7">
              <w:rPr>
                <w:b/>
                <w:bCs/>
              </w:rPr>
              <w:t>US weight</w:t>
            </w:r>
          </w:p>
        </w:tc>
      </w:tr>
      <w:tr w:rsidR="005A6FD7" w:rsidRPr="005A6FD7" w14:paraId="0342B35B" w14:textId="77777777">
        <w:trPr>
          <w:tblCellSpacing w:w="15" w:type="dxa"/>
        </w:trPr>
        <w:tc>
          <w:tcPr>
            <w:tcW w:w="0" w:type="auto"/>
            <w:vAlign w:val="center"/>
            <w:hideMark/>
          </w:tcPr>
          <w:p w14:paraId="7ECDE9D8" w14:textId="77777777" w:rsidR="005A6FD7" w:rsidRPr="005A6FD7" w:rsidRDefault="005A6FD7" w:rsidP="005A6FD7">
            <w:r w:rsidRPr="005A6FD7">
              <w:rPr>
                <w:b/>
                <w:bCs/>
              </w:rPr>
              <w:t>MSCI World</w:t>
            </w:r>
          </w:p>
        </w:tc>
        <w:tc>
          <w:tcPr>
            <w:tcW w:w="0" w:type="auto"/>
            <w:vAlign w:val="center"/>
            <w:hideMark/>
          </w:tcPr>
          <w:p w14:paraId="3C90F62F" w14:textId="77777777" w:rsidR="005A6FD7" w:rsidRPr="005A6FD7" w:rsidRDefault="005A6FD7" w:rsidP="005A6FD7">
            <w:r w:rsidRPr="005A6FD7">
              <w:t>23 developed markets</w:t>
            </w:r>
          </w:p>
        </w:tc>
        <w:tc>
          <w:tcPr>
            <w:tcW w:w="0" w:type="auto"/>
            <w:vAlign w:val="center"/>
            <w:hideMark/>
          </w:tcPr>
          <w:p w14:paraId="20414683" w14:textId="77777777" w:rsidR="005A6FD7" w:rsidRPr="005A6FD7" w:rsidRDefault="005A6FD7" w:rsidP="005A6FD7">
            <w:r w:rsidRPr="005A6FD7">
              <w:t>~1,300</w:t>
            </w:r>
          </w:p>
        </w:tc>
        <w:tc>
          <w:tcPr>
            <w:tcW w:w="0" w:type="auto"/>
            <w:vAlign w:val="center"/>
            <w:hideMark/>
          </w:tcPr>
          <w:p w14:paraId="033AD67A" w14:textId="77777777" w:rsidR="005A6FD7" w:rsidRPr="005A6FD7" w:rsidRDefault="005A6FD7" w:rsidP="005A6FD7">
            <w:r w:rsidRPr="005A6FD7">
              <w:t>~72–74%</w:t>
            </w:r>
          </w:p>
        </w:tc>
      </w:tr>
      <w:tr w:rsidR="005A6FD7" w:rsidRPr="005A6FD7" w14:paraId="1C83824B" w14:textId="77777777">
        <w:trPr>
          <w:tblCellSpacing w:w="15" w:type="dxa"/>
        </w:trPr>
        <w:tc>
          <w:tcPr>
            <w:tcW w:w="0" w:type="auto"/>
            <w:vAlign w:val="center"/>
            <w:hideMark/>
          </w:tcPr>
          <w:p w14:paraId="30E763E8" w14:textId="77777777" w:rsidR="005A6FD7" w:rsidRPr="005A6FD7" w:rsidRDefault="005A6FD7" w:rsidP="005A6FD7">
            <w:r w:rsidRPr="005A6FD7">
              <w:rPr>
                <w:b/>
                <w:bCs/>
              </w:rPr>
              <w:t>FTSE All-World</w:t>
            </w:r>
          </w:p>
        </w:tc>
        <w:tc>
          <w:tcPr>
            <w:tcW w:w="0" w:type="auto"/>
            <w:vAlign w:val="center"/>
            <w:hideMark/>
          </w:tcPr>
          <w:p w14:paraId="37F08E73" w14:textId="77777777" w:rsidR="005A6FD7" w:rsidRPr="005A6FD7" w:rsidRDefault="005A6FD7" w:rsidP="005A6FD7">
            <w:r w:rsidRPr="005A6FD7">
              <w:t>Developed + emerging markets</w:t>
            </w:r>
          </w:p>
        </w:tc>
        <w:tc>
          <w:tcPr>
            <w:tcW w:w="0" w:type="auto"/>
            <w:vAlign w:val="center"/>
            <w:hideMark/>
          </w:tcPr>
          <w:p w14:paraId="22959571" w14:textId="77777777" w:rsidR="005A6FD7" w:rsidRPr="005A6FD7" w:rsidRDefault="005A6FD7" w:rsidP="005A6FD7">
            <w:r w:rsidRPr="005A6FD7">
              <w:t>~4,000</w:t>
            </w:r>
          </w:p>
        </w:tc>
        <w:tc>
          <w:tcPr>
            <w:tcW w:w="0" w:type="auto"/>
            <w:vAlign w:val="center"/>
            <w:hideMark/>
          </w:tcPr>
          <w:p w14:paraId="5F92C459" w14:textId="77777777" w:rsidR="005A6FD7" w:rsidRPr="005A6FD7" w:rsidRDefault="005A6FD7" w:rsidP="005A6FD7">
            <w:r w:rsidRPr="005A6FD7">
              <w:t>~62–64%</w:t>
            </w:r>
          </w:p>
        </w:tc>
      </w:tr>
      <w:tr w:rsidR="005A6FD7" w:rsidRPr="005A6FD7" w14:paraId="21565BE4" w14:textId="77777777">
        <w:trPr>
          <w:tblCellSpacing w:w="15" w:type="dxa"/>
        </w:trPr>
        <w:tc>
          <w:tcPr>
            <w:tcW w:w="0" w:type="auto"/>
            <w:vAlign w:val="center"/>
            <w:hideMark/>
          </w:tcPr>
          <w:p w14:paraId="7C2A49AA" w14:textId="77777777" w:rsidR="005A6FD7" w:rsidRPr="005A6FD7" w:rsidRDefault="005A6FD7" w:rsidP="005A6FD7">
            <w:r w:rsidRPr="005A6FD7">
              <w:rPr>
                <w:b/>
                <w:bCs/>
              </w:rPr>
              <w:t>S&amp;P 500</w:t>
            </w:r>
          </w:p>
        </w:tc>
        <w:tc>
          <w:tcPr>
            <w:tcW w:w="0" w:type="auto"/>
            <w:vAlign w:val="center"/>
            <w:hideMark/>
          </w:tcPr>
          <w:p w14:paraId="7D58F777" w14:textId="77777777" w:rsidR="005A6FD7" w:rsidRPr="005A6FD7" w:rsidRDefault="005A6FD7" w:rsidP="005A6FD7">
            <w:r w:rsidRPr="005A6FD7">
              <w:t>Large-cap US only</w:t>
            </w:r>
          </w:p>
        </w:tc>
        <w:tc>
          <w:tcPr>
            <w:tcW w:w="0" w:type="auto"/>
            <w:vAlign w:val="center"/>
            <w:hideMark/>
          </w:tcPr>
          <w:p w14:paraId="591A820C" w14:textId="77777777" w:rsidR="005A6FD7" w:rsidRPr="005A6FD7" w:rsidRDefault="005A6FD7" w:rsidP="005A6FD7">
            <w:r w:rsidRPr="005A6FD7">
              <w:t>500</w:t>
            </w:r>
          </w:p>
        </w:tc>
        <w:tc>
          <w:tcPr>
            <w:tcW w:w="0" w:type="auto"/>
            <w:vAlign w:val="center"/>
            <w:hideMark/>
          </w:tcPr>
          <w:p w14:paraId="68FBDCE6" w14:textId="77777777" w:rsidR="005A6FD7" w:rsidRPr="005A6FD7" w:rsidRDefault="005A6FD7" w:rsidP="005A6FD7">
            <w:r w:rsidRPr="005A6FD7">
              <w:t>100%</w:t>
            </w:r>
          </w:p>
        </w:tc>
      </w:tr>
      <w:tr w:rsidR="005A6FD7" w:rsidRPr="005A6FD7" w14:paraId="09835695" w14:textId="77777777">
        <w:trPr>
          <w:tblCellSpacing w:w="15" w:type="dxa"/>
        </w:trPr>
        <w:tc>
          <w:tcPr>
            <w:tcW w:w="0" w:type="auto"/>
            <w:vAlign w:val="center"/>
            <w:hideMark/>
          </w:tcPr>
          <w:p w14:paraId="091008BB" w14:textId="77777777" w:rsidR="005A6FD7" w:rsidRPr="005A6FD7" w:rsidRDefault="005A6FD7" w:rsidP="005A6FD7">
            <w:r w:rsidRPr="005A6FD7">
              <w:rPr>
                <w:b/>
                <w:bCs/>
              </w:rPr>
              <w:lastRenderedPageBreak/>
              <w:t>Nasdaq-100</w:t>
            </w:r>
          </w:p>
        </w:tc>
        <w:tc>
          <w:tcPr>
            <w:tcW w:w="0" w:type="auto"/>
            <w:vAlign w:val="center"/>
            <w:hideMark/>
          </w:tcPr>
          <w:p w14:paraId="472BABAD" w14:textId="77777777" w:rsidR="005A6FD7" w:rsidRPr="005A6FD7" w:rsidRDefault="005A6FD7" w:rsidP="005A6FD7">
            <w:r w:rsidRPr="005A6FD7">
              <w:t>Non-financial, Nasdaq-listed, heavily tech</w:t>
            </w:r>
          </w:p>
        </w:tc>
        <w:tc>
          <w:tcPr>
            <w:tcW w:w="0" w:type="auto"/>
            <w:vAlign w:val="center"/>
            <w:hideMark/>
          </w:tcPr>
          <w:p w14:paraId="7165D919" w14:textId="77777777" w:rsidR="005A6FD7" w:rsidRPr="005A6FD7" w:rsidRDefault="005A6FD7" w:rsidP="005A6FD7">
            <w:r w:rsidRPr="005A6FD7">
              <w:t>100</w:t>
            </w:r>
          </w:p>
        </w:tc>
        <w:tc>
          <w:tcPr>
            <w:tcW w:w="0" w:type="auto"/>
            <w:vAlign w:val="center"/>
            <w:hideMark/>
          </w:tcPr>
          <w:p w14:paraId="6B467855" w14:textId="77777777" w:rsidR="005A6FD7" w:rsidRPr="005A6FD7" w:rsidRDefault="005A6FD7" w:rsidP="005A6FD7">
            <w:r w:rsidRPr="005A6FD7">
              <w:t>~100% (mega-cap tech)</w:t>
            </w:r>
          </w:p>
        </w:tc>
      </w:tr>
    </w:tbl>
    <w:p w14:paraId="0E9D55CB" w14:textId="77777777" w:rsidR="005A6FD7" w:rsidRPr="005A6FD7" w:rsidRDefault="005A6FD7" w:rsidP="005A6FD7">
      <w:pPr>
        <w:rPr>
          <w:b/>
          <w:bCs/>
        </w:rPr>
      </w:pPr>
      <w:r w:rsidRPr="005A6FD7">
        <w:rPr>
          <w:b/>
          <w:bCs/>
        </w:rPr>
        <w:t>The overlap problem</w:t>
      </w:r>
    </w:p>
    <w:p w14:paraId="44F1010C" w14:textId="77777777" w:rsidR="005A6FD7" w:rsidRPr="005A6FD7" w:rsidRDefault="005A6FD7" w:rsidP="005A6FD7">
      <w:r w:rsidRPr="005A6FD7">
        <w:t xml:space="preserve">This is the key thing to understand before adding more funds: </w:t>
      </w:r>
      <w:r w:rsidRPr="005A6FD7">
        <w:rPr>
          <w:b/>
          <w:bCs/>
        </w:rPr>
        <w:t>these four indices are not independent bets — they are nested.</w:t>
      </w:r>
    </w:p>
    <w:p w14:paraId="6CC1FAF4" w14:textId="77777777" w:rsidR="005A6FD7" w:rsidRPr="005A6FD7" w:rsidRDefault="005A6FD7" w:rsidP="005A6FD7">
      <w:pPr>
        <w:numPr>
          <w:ilvl w:val="0"/>
          <w:numId w:val="1"/>
        </w:numPr>
      </w:pPr>
      <w:r w:rsidRPr="005A6FD7">
        <w:t>The S&amp;P 500 is a subset of MSCI World.</w:t>
      </w:r>
    </w:p>
    <w:p w14:paraId="68C55B6C" w14:textId="77777777" w:rsidR="005A6FD7" w:rsidRPr="005A6FD7" w:rsidRDefault="005A6FD7" w:rsidP="005A6FD7">
      <w:pPr>
        <w:numPr>
          <w:ilvl w:val="0"/>
          <w:numId w:val="1"/>
        </w:numPr>
      </w:pPr>
      <w:r w:rsidRPr="005A6FD7">
        <w:t>MSCI World is a subset of FTSE All-World (World ex-</w:t>
      </w:r>
      <w:proofErr w:type="gramStart"/>
      <w:r w:rsidRPr="005A6FD7">
        <w:t>emerging-markets</w:t>
      </w:r>
      <w:proofErr w:type="gramEnd"/>
      <w:r w:rsidRPr="005A6FD7">
        <w:t>).</w:t>
      </w:r>
    </w:p>
    <w:p w14:paraId="765136F1" w14:textId="77777777" w:rsidR="005A6FD7" w:rsidRPr="005A6FD7" w:rsidRDefault="005A6FD7" w:rsidP="005A6FD7">
      <w:pPr>
        <w:numPr>
          <w:ilvl w:val="0"/>
          <w:numId w:val="1"/>
        </w:numPr>
      </w:pPr>
      <w:r w:rsidRPr="005A6FD7">
        <w:t xml:space="preserve">Nasdaq-100 is a subset of the S&amp;P 500's tech/growth names (Apple, Microsoft, Nvidia, Amazon, Meta, Broadcom, Alphabet, etc. sit in </w:t>
      </w:r>
      <w:r w:rsidRPr="005A6FD7">
        <w:rPr>
          <w:i/>
          <w:iCs/>
        </w:rPr>
        <w:t>all four</w:t>
      </w:r>
      <w:r w:rsidRPr="005A6FD7">
        <w:t xml:space="preserve"> indices simultaneously).</w:t>
      </w:r>
    </w:p>
    <w:p w14:paraId="24B5AD4B" w14:textId="77777777" w:rsidR="005A6FD7" w:rsidRPr="005A6FD7" w:rsidRDefault="005A6FD7" w:rsidP="005A6FD7">
      <w:proofErr w:type="gramStart"/>
      <w:r w:rsidRPr="005A6FD7">
        <w:t>So</w:t>
      </w:r>
      <w:proofErr w:type="gramEnd"/>
      <w:r w:rsidRPr="005A6FD7">
        <w:t xml:space="preserve"> if you held, say, 25% each of MSCI World, FTSE All-World, S&amp;P 500, and Nasdaq-100, you would </w:t>
      </w:r>
      <w:r w:rsidRPr="005A6FD7">
        <w:rPr>
          <w:b/>
          <w:bCs/>
        </w:rPr>
        <w:t>not</w:t>
      </w:r>
      <w:r w:rsidRPr="005A6FD7">
        <w:t xml:space="preserve"> have a diversified four-way bet — you'd have a portfolio that's effectively ~85%+ concentrated in large-cap US tech, just measured four different ways. You'd be paying four TERs to make one bet bigger.</w:t>
      </w:r>
    </w:p>
    <w:p w14:paraId="68C5E5E5" w14:textId="77777777" w:rsidR="005A6FD7" w:rsidRPr="005A6FD7" w:rsidRDefault="005A6FD7" w:rsidP="005A6FD7">
      <w:pPr>
        <w:rPr>
          <w:b/>
          <w:bCs/>
        </w:rPr>
      </w:pPr>
      <w:r w:rsidRPr="005A6FD7">
        <w:rPr>
          <w:b/>
          <w:bCs/>
        </w:rPr>
        <w:t>Recommendation: pick ONE global core, not several</w:t>
      </w:r>
    </w:p>
    <w:p w14:paraId="0B115F42" w14:textId="77777777" w:rsidR="005A6FD7" w:rsidRPr="005A6FD7" w:rsidRDefault="005A6FD7" w:rsidP="005A6FD7">
      <w:r w:rsidRPr="005A6FD7">
        <w:rPr>
          <w:b/>
          <w:bCs/>
        </w:rPr>
        <w:t>Best single choice for your profile: Vanguard FTSE All-World UCITS ETF (VWCE)</w:t>
      </w:r>
      <w:r w:rsidRPr="005A6FD7">
        <w:t xml:space="preserve"> or </w:t>
      </w:r>
      <w:r w:rsidRPr="005A6FD7">
        <w:rPr>
          <w:b/>
          <w:bCs/>
        </w:rPr>
        <w:t>iShares Core MSCI World UCITS ETF (IWDA)</w:t>
      </w:r>
      <w:r w:rsidRPr="005A6FD7">
        <w:t xml:space="preserve"> as the core — not </w:t>
      </w:r>
      <w:proofErr w:type="gramStart"/>
      <w:r w:rsidRPr="005A6FD7">
        <w:t>both, and</w:t>
      </w:r>
      <w:proofErr w:type="gramEnd"/>
      <w:r w:rsidRPr="005A6FD7">
        <w:t xml:space="preserve"> not layered with S&amp;P 500 on top as a "diversifier."</w:t>
      </w:r>
    </w:p>
    <w:p w14:paraId="34800B05" w14:textId="77777777" w:rsidR="005A6FD7" w:rsidRPr="005A6FD7" w:rsidRDefault="005A6FD7" w:rsidP="005A6FD7">
      <w:pPr>
        <w:numPr>
          <w:ilvl w:val="0"/>
          <w:numId w:val="2"/>
        </w:numPr>
      </w:pPr>
      <w:r w:rsidRPr="005A6FD7">
        <w:rPr>
          <w:b/>
          <w:bCs/>
        </w:rPr>
        <w:t>FTSE All-World</w:t>
      </w:r>
      <w:r w:rsidRPr="005A6FD7">
        <w:t xml:space="preserve"> adds emerging markets (China, India, Taiwan, Brazil, etc. — roughly 10% of the index) that MSCI World excludes entirely. For a 20–</w:t>
      </w:r>
      <w:proofErr w:type="gramStart"/>
      <w:r w:rsidRPr="005A6FD7">
        <w:t>30 year</w:t>
      </w:r>
      <w:proofErr w:type="gramEnd"/>
      <w:r w:rsidRPr="005A6FD7">
        <w:t xml:space="preserve"> horizon, EM exposure is a reasonable structural bet on the </w:t>
      </w:r>
      <w:proofErr w:type="spellStart"/>
      <w:r w:rsidRPr="005A6FD7">
        <w:t>countries</w:t>
      </w:r>
      <w:proofErr w:type="spellEnd"/>
      <w:r w:rsidRPr="005A6FD7">
        <w:t xml:space="preserve"> most likely to grow their share of world GDP.</w:t>
      </w:r>
    </w:p>
    <w:p w14:paraId="2F338074" w14:textId="77777777" w:rsidR="005A6FD7" w:rsidRPr="005A6FD7" w:rsidRDefault="005A6FD7" w:rsidP="005A6FD7">
      <w:pPr>
        <w:numPr>
          <w:ilvl w:val="0"/>
          <w:numId w:val="2"/>
        </w:numPr>
      </w:pPr>
      <w:r w:rsidRPr="005A6FD7">
        <w:rPr>
          <w:b/>
          <w:bCs/>
        </w:rPr>
        <w:t>MSCI World</w:t>
      </w:r>
      <w:r w:rsidRPr="005A6FD7">
        <w:t xml:space="preserve"> is EM-free, marginally more US/developed-tilted, and has an even longer track record and larger fund size, with a slightly lower TER on some share classes.</w:t>
      </w:r>
    </w:p>
    <w:p w14:paraId="65D3C079" w14:textId="77777777" w:rsidR="005A6FD7" w:rsidRPr="005A6FD7" w:rsidRDefault="005A6FD7" w:rsidP="005A6FD7">
      <w:pPr>
        <w:numPr>
          <w:ilvl w:val="0"/>
          <w:numId w:val="2"/>
        </w:numPr>
      </w:pPr>
      <w:r w:rsidRPr="005A6FD7">
        <w:t>Both are excellent, both are "buy the whole world, forever" solutions, and the difference in expected outcome between them over 30 years is small. This is a genuine coin-flip decision — don't lose sleep over it.</w:t>
      </w:r>
    </w:p>
    <w:p w14:paraId="078BD61A" w14:textId="77777777" w:rsidR="005A6FD7" w:rsidRPr="005A6FD7" w:rsidRDefault="005A6FD7" w:rsidP="005A6FD7">
      <w:r w:rsidRPr="005A6FD7">
        <w:rPr>
          <w:b/>
          <w:bCs/>
        </w:rPr>
        <w:t xml:space="preserve">If you want deliberate extra US or tech concentration, the correct way to do it is to </w:t>
      </w:r>
      <w:r w:rsidRPr="005A6FD7">
        <w:rPr>
          <w:b/>
          <w:bCs/>
          <w:i/>
          <w:iCs/>
        </w:rPr>
        <w:t>tilt</w:t>
      </w:r>
      <w:r w:rsidRPr="005A6FD7">
        <w:rPr>
          <w:b/>
          <w:bCs/>
        </w:rPr>
        <w:t xml:space="preserve"> your core, not to add a second overlapping "core" fund.</w:t>
      </w:r>
      <w:r w:rsidRPr="005A6FD7">
        <w:t xml:space="preserve"> That's what Section 3 (allocation) does: it uses a global core as the foundation and adds Nasdaq-100 and AI/tech satellites </w:t>
      </w:r>
      <w:r w:rsidRPr="005A6FD7">
        <w:rPr>
          <w:i/>
          <w:iCs/>
        </w:rPr>
        <w:t>on top</w:t>
      </w:r>
      <w:r w:rsidRPr="005A6FD7">
        <w:t>, in controlled percentages, rather than replacing diversification with concentration.</w:t>
      </w:r>
    </w:p>
    <w:p w14:paraId="1AA14564" w14:textId="77777777" w:rsidR="005A6FD7" w:rsidRPr="005A6FD7" w:rsidRDefault="005A6FD7" w:rsidP="005A6FD7">
      <w:pPr>
        <w:rPr>
          <w:b/>
          <w:bCs/>
        </w:rPr>
      </w:pPr>
      <w:r w:rsidRPr="005A6FD7">
        <w:rPr>
          <w:b/>
          <w:bCs/>
        </w:rPr>
        <w:t>Does adding S&amp;P 500 or Nasdaq-100 alongside a global fund make sense?</w:t>
      </w:r>
    </w:p>
    <w:p w14:paraId="37EFCBAB" w14:textId="77777777" w:rsidR="005A6FD7" w:rsidRPr="005A6FD7" w:rsidRDefault="005A6FD7" w:rsidP="005A6FD7">
      <w:r w:rsidRPr="005A6FD7">
        <w:t xml:space="preserve">Yes — but only as a </w:t>
      </w:r>
      <w:r w:rsidRPr="005A6FD7">
        <w:rPr>
          <w:b/>
          <w:bCs/>
        </w:rPr>
        <w:t>deliberate, sized tilt</w:t>
      </w:r>
      <w:r w:rsidRPr="005A6FD7">
        <w:t>, not as "extra diversification" (it isn't). Because:</w:t>
      </w:r>
    </w:p>
    <w:p w14:paraId="05653DC2" w14:textId="77777777" w:rsidR="005A6FD7" w:rsidRPr="005A6FD7" w:rsidRDefault="005A6FD7" w:rsidP="005A6FD7">
      <w:pPr>
        <w:numPr>
          <w:ilvl w:val="0"/>
          <w:numId w:val="3"/>
        </w:numPr>
      </w:pPr>
      <w:r w:rsidRPr="005A6FD7">
        <w:t xml:space="preserve">S&amp;P 500 stacked on top of a global core just increases US weight beyond the ~65–74% you already have. That's a legitimate choice if you have a structural view that US </w:t>
      </w:r>
      <w:proofErr w:type="gramStart"/>
      <w:r w:rsidRPr="005A6FD7">
        <w:t>large-caps</w:t>
      </w:r>
      <w:proofErr w:type="gramEnd"/>
      <w:r w:rsidRPr="005A6FD7">
        <w:t xml:space="preserve"> will keep outperforming (they have, for ~15 years), but understand it as a </w:t>
      </w:r>
      <w:r w:rsidRPr="005A6FD7">
        <w:rPr>
          <w:b/>
          <w:bCs/>
        </w:rPr>
        <w:t>concentration bet</w:t>
      </w:r>
      <w:r w:rsidRPr="005A6FD7">
        <w:t>, not a diversification move.</w:t>
      </w:r>
    </w:p>
    <w:p w14:paraId="17FEFEC4" w14:textId="77777777" w:rsidR="005A6FD7" w:rsidRPr="005A6FD7" w:rsidRDefault="005A6FD7" w:rsidP="005A6FD7">
      <w:pPr>
        <w:numPr>
          <w:ilvl w:val="0"/>
          <w:numId w:val="3"/>
        </w:numPr>
      </w:pPr>
      <w:r w:rsidRPr="005A6FD7">
        <w:lastRenderedPageBreak/>
        <w:t xml:space="preserve">Nasdaq-100 stacked on top increases both US weight </w:t>
      </w:r>
      <w:r w:rsidRPr="005A6FD7">
        <w:rPr>
          <w:i/>
          <w:iCs/>
        </w:rPr>
        <w:t>and</w:t>
      </w:r>
      <w:r w:rsidRPr="005A6FD7">
        <w:t xml:space="preserve"> sector concentration (tech/growth ~50%+ of the index) </w:t>
      </w:r>
      <w:r w:rsidRPr="005A6FD7">
        <w:rPr>
          <w:i/>
          <w:iCs/>
        </w:rPr>
        <w:t>and</w:t>
      </w:r>
      <w:r w:rsidRPr="005A6FD7">
        <w:t xml:space="preserve"> single-stock concentration (top 10 holdings often &gt;45% of the fund). It's the most aggressive, most correlated-with-itself layer you can add.</w:t>
      </w:r>
    </w:p>
    <w:p w14:paraId="2C805D07" w14:textId="77777777" w:rsidR="005A6FD7" w:rsidRPr="005A6FD7" w:rsidRDefault="005A6FD7" w:rsidP="005A6FD7">
      <w:r w:rsidRPr="005A6FD7">
        <w:rPr>
          <w:b/>
          <w:bCs/>
        </w:rPr>
        <w:t>Verdict:</w:t>
      </w:r>
      <w:r w:rsidRPr="005A6FD7">
        <w:t xml:space="preserve"> One global core (FTSE All-World or MSCI World) + a measured Nasdaq-100 tilt + measured AI/tech satellites is the efficient way to express "I want more US growth and more AI upside" without needless overlap or hidden concentration.</w:t>
      </w:r>
    </w:p>
    <w:p w14:paraId="537D9562" w14:textId="77777777" w:rsidR="005A6FD7" w:rsidRPr="005A6FD7" w:rsidRDefault="005A6FD7" w:rsidP="005A6FD7">
      <w:r w:rsidRPr="005A6FD7">
        <w:pict w14:anchorId="56B3AEB7">
          <v:rect id="_x0000_i1087" style="width:0;height:1.5pt" o:hralign="center" o:hrstd="t" o:hr="t" fillcolor="#a0a0a0" stroked="f"/>
        </w:pict>
      </w:r>
    </w:p>
    <w:p w14:paraId="13D8A127" w14:textId="77777777" w:rsidR="005A6FD7" w:rsidRPr="005A6FD7" w:rsidRDefault="005A6FD7" w:rsidP="005A6FD7">
      <w:pPr>
        <w:rPr>
          <w:b/>
          <w:bCs/>
        </w:rPr>
      </w:pPr>
      <w:r w:rsidRPr="005A6FD7">
        <w:rPr>
          <w:b/>
          <w:bCs/>
        </w:rPr>
        <w:t>2. AI &amp; Technology ETFs: Thesis, Risk, and Whether They Deserve a Permanent Slot</w:t>
      </w:r>
    </w:p>
    <w:p w14:paraId="78AB12C2" w14:textId="77777777" w:rsidR="005A6FD7" w:rsidRPr="005A6FD7" w:rsidRDefault="005A6FD7" w:rsidP="005A6FD7">
      <w:pPr>
        <w:rPr>
          <w:b/>
          <w:bCs/>
        </w:rPr>
      </w:pPr>
      <w:r w:rsidRPr="005A6FD7">
        <w:rPr>
          <w:b/>
          <w:bCs/>
        </w:rPr>
        <w:t>The thesis</w:t>
      </w:r>
    </w:p>
    <w:p w14:paraId="55FB8227" w14:textId="77777777" w:rsidR="005A6FD7" w:rsidRPr="005A6FD7" w:rsidRDefault="005A6FD7" w:rsidP="005A6FD7">
      <w:r w:rsidRPr="005A6FD7">
        <w:t xml:space="preserve">AI, semiconductors, cloud, cybersecurity, and automation are argued to be a multi-decade capital expenditure and productivity cycle — comparable in scale to electrification or the early internet build-out. The bull case: compute demand, data </w:t>
      </w:r>
      <w:proofErr w:type="spellStart"/>
      <w:r w:rsidRPr="005A6FD7">
        <w:t>center</w:t>
      </w:r>
      <w:proofErr w:type="spellEnd"/>
      <w:r w:rsidRPr="005A6FD7">
        <w:t xml:space="preserve"> buildout, robotics/automation </w:t>
      </w:r>
      <w:proofErr w:type="spellStart"/>
      <w:r w:rsidRPr="005A6FD7">
        <w:t>labor</w:t>
      </w:r>
      <w:proofErr w:type="spellEnd"/>
      <w:r w:rsidRPr="005A6FD7">
        <w:t xml:space="preserve"> substitution, and AI-native software are still in early innings, and the picks-and-shovels (semiconductors, infrastructure) may benefit even if it's unclear which specific AI application layer "wins."</w:t>
      </w:r>
    </w:p>
    <w:p w14:paraId="2CBCFEBE" w14:textId="77777777" w:rsidR="005A6FD7" w:rsidRPr="005A6FD7" w:rsidRDefault="005A6FD7" w:rsidP="005A6FD7">
      <w:pPr>
        <w:rPr>
          <w:b/>
          <w:bCs/>
        </w:rPr>
      </w:pPr>
      <w:r w:rsidRPr="005A6FD7">
        <w:rPr>
          <w:b/>
          <w:bCs/>
        </w:rPr>
        <w:t>The counter-case (see also Section 7)</w:t>
      </w:r>
    </w:p>
    <w:p w14:paraId="69857A11" w14:textId="77777777" w:rsidR="005A6FD7" w:rsidRPr="005A6FD7" w:rsidRDefault="005A6FD7" w:rsidP="005A6FD7">
      <w:pPr>
        <w:numPr>
          <w:ilvl w:val="0"/>
          <w:numId w:val="4"/>
        </w:numPr>
      </w:pPr>
      <w:r w:rsidRPr="005A6FD7">
        <w:t xml:space="preserve">Thematic indices are </w:t>
      </w:r>
      <w:r w:rsidRPr="005A6FD7">
        <w:rPr>
          <w:b/>
          <w:bCs/>
        </w:rPr>
        <w:t>already</w:t>
      </w:r>
      <w:r w:rsidRPr="005A6FD7">
        <w:t xml:space="preserve"> full of the mega-cap names you own via MSCI World/S&amp;P 500/Nasdaq-100 (Nvidia, Microsoft, Broadcom, TSMC, etc.), so a lot of "AI exposure" is duplicated exposure, not new exposure.</w:t>
      </w:r>
    </w:p>
    <w:p w14:paraId="40A8BD1C" w14:textId="77777777" w:rsidR="005A6FD7" w:rsidRPr="005A6FD7" w:rsidRDefault="005A6FD7" w:rsidP="005A6FD7">
      <w:pPr>
        <w:numPr>
          <w:ilvl w:val="0"/>
          <w:numId w:val="4"/>
        </w:numPr>
      </w:pPr>
      <w:r w:rsidRPr="005A6FD7">
        <w:t xml:space="preserve">Thematic ETFs have historically underperformed broad market benchmarks over full cycles, partly because they're often launched </w:t>
      </w:r>
      <w:r w:rsidRPr="005A6FD7">
        <w:rPr>
          <w:i/>
          <w:iCs/>
        </w:rPr>
        <w:t>after</w:t>
      </w:r>
      <w:r w:rsidRPr="005A6FD7">
        <w:t xml:space="preserve"> a theme has already run up (survivorship and timing bias), and partly because narrow indices carry more idiosyncratic/valuation risk.</w:t>
      </w:r>
    </w:p>
    <w:p w14:paraId="246BBA55" w14:textId="77777777" w:rsidR="005A6FD7" w:rsidRPr="005A6FD7" w:rsidRDefault="005A6FD7" w:rsidP="005A6FD7">
      <w:pPr>
        <w:numPr>
          <w:ilvl w:val="0"/>
          <w:numId w:val="4"/>
        </w:numPr>
      </w:pPr>
      <w:r w:rsidRPr="005A6FD7">
        <w:t>Higher TERs (0.35–0.49% vs. 0.07–0.20% for core funds) compound as a persistent drag.</w:t>
      </w:r>
    </w:p>
    <w:p w14:paraId="53D81C94" w14:textId="77777777" w:rsidR="005A6FD7" w:rsidRPr="005A6FD7" w:rsidRDefault="005A6FD7" w:rsidP="005A6FD7">
      <w:pPr>
        <w:rPr>
          <w:b/>
          <w:bCs/>
        </w:rPr>
      </w:pPr>
      <w:r w:rsidRPr="005A6FD7">
        <w:rPr>
          <w:b/>
          <w:bCs/>
        </w:rPr>
        <w:t>Individual thesis notes</w:t>
      </w:r>
    </w:p>
    <w:p w14:paraId="24CD4178" w14:textId="77777777" w:rsidR="005A6FD7" w:rsidRPr="005A6FD7" w:rsidRDefault="005A6FD7" w:rsidP="005A6FD7">
      <w:pPr>
        <w:numPr>
          <w:ilvl w:val="0"/>
          <w:numId w:val="5"/>
        </w:numPr>
      </w:pPr>
      <w:r w:rsidRPr="005A6FD7">
        <w:rPr>
          <w:b/>
          <w:bCs/>
        </w:rPr>
        <w:t>Semiconductors</w:t>
      </w:r>
      <w:r w:rsidRPr="005A6FD7">
        <w:t xml:space="preserve"> (VanEck Semiconductor / iShares MSCI Global Semiconductors): the highest-conviction pure-play sub-theme — chips are the physical bottleneck for AI compute, with genuine oligopoly economics (TSMC, Nvidia, ASML-adjacent supply chain). Most concentrated in a handful of names.</w:t>
      </w:r>
    </w:p>
    <w:p w14:paraId="71555B0D" w14:textId="77777777" w:rsidR="005A6FD7" w:rsidRPr="005A6FD7" w:rsidRDefault="005A6FD7" w:rsidP="005A6FD7">
      <w:pPr>
        <w:numPr>
          <w:ilvl w:val="0"/>
          <w:numId w:val="5"/>
        </w:numPr>
      </w:pPr>
      <w:r w:rsidRPr="005A6FD7">
        <w:rPr>
          <w:b/>
          <w:bCs/>
        </w:rPr>
        <w:t>Robotics &amp; Automation</w:t>
      </w:r>
      <w:r w:rsidRPr="005A6FD7">
        <w:t xml:space="preserve"> (iShares Automation &amp; Robotics, L&amp;G ROBO Global Robotics): a broader industrial-</w:t>
      </w:r>
      <w:proofErr w:type="spellStart"/>
      <w:r w:rsidRPr="005A6FD7">
        <w:t>labor</w:t>
      </w:r>
      <w:proofErr w:type="spellEnd"/>
      <w:r w:rsidRPr="005A6FD7">
        <w:t>-substitution thesis — more diversified across Japan/Germany/US industrial names, less "pure AI," more cyclical/industrial in character.</w:t>
      </w:r>
    </w:p>
    <w:p w14:paraId="72930658" w14:textId="77777777" w:rsidR="005A6FD7" w:rsidRPr="005A6FD7" w:rsidRDefault="005A6FD7" w:rsidP="005A6FD7">
      <w:pPr>
        <w:numPr>
          <w:ilvl w:val="0"/>
          <w:numId w:val="5"/>
        </w:numPr>
      </w:pPr>
      <w:r w:rsidRPr="005A6FD7">
        <w:rPr>
          <w:b/>
          <w:bCs/>
        </w:rPr>
        <w:t>Digital Security / Cybersecurity</w:t>
      </w:r>
      <w:r w:rsidRPr="005A6FD7">
        <w:t xml:space="preserve"> (iShares Digital Security): a defensive-growth thesis — as AI increases attack surface and value of data, security spend tends to be non-discretionary even in downturns. Lower correlation to AI hype cycles than pure semis.</w:t>
      </w:r>
    </w:p>
    <w:p w14:paraId="0D674B4B" w14:textId="77777777" w:rsidR="005A6FD7" w:rsidRPr="005A6FD7" w:rsidRDefault="005A6FD7" w:rsidP="005A6FD7">
      <w:pPr>
        <w:numPr>
          <w:ilvl w:val="0"/>
          <w:numId w:val="5"/>
        </w:numPr>
      </w:pPr>
      <w:r w:rsidRPr="005A6FD7">
        <w:rPr>
          <w:b/>
          <w:bCs/>
        </w:rPr>
        <w:t>Artificial Intelligence, broad</w:t>
      </w:r>
      <w:r w:rsidRPr="005A6FD7">
        <w:t xml:space="preserve"> (L&amp;G Artificial Intelligence): the most direct-branded "AI" fund, but also the broadest/vaguest index construction (ROBO Global AI index), meaning classification risk — some holdings may only loosely relate to AI.</w:t>
      </w:r>
    </w:p>
    <w:p w14:paraId="4EC03052" w14:textId="77777777" w:rsidR="005A6FD7" w:rsidRPr="005A6FD7" w:rsidRDefault="005A6FD7" w:rsidP="005A6FD7">
      <w:pPr>
        <w:rPr>
          <w:b/>
          <w:bCs/>
        </w:rPr>
      </w:pPr>
      <w:r w:rsidRPr="005A6FD7">
        <w:rPr>
          <w:b/>
          <w:bCs/>
        </w:rPr>
        <w:lastRenderedPageBreak/>
        <w:t>Does AI/tech deserve a permanent allocation?</w:t>
      </w:r>
    </w:p>
    <w:p w14:paraId="3E0A9CD8" w14:textId="77777777" w:rsidR="005A6FD7" w:rsidRPr="005A6FD7" w:rsidRDefault="005A6FD7" w:rsidP="005A6FD7">
      <w:r w:rsidRPr="005A6FD7">
        <w:t xml:space="preserve">A reasonable, evidence-based answer: </w:t>
      </w:r>
      <w:r w:rsidRPr="005A6FD7">
        <w:rPr>
          <w:b/>
          <w:bCs/>
        </w:rPr>
        <w:t>a small, permanent satellite allocation (not a core holding) is defensible</w:t>
      </w:r>
      <w:r w:rsidRPr="005A6FD7">
        <w:t xml:space="preserve">, sized so that if the theme disappoints for a decade, it doesn't meaningfully dent your compounding — and if it doesn't, the upside optionality is real. Most professional model portfolios treat thematic tech as a </w:t>
      </w:r>
      <w:r w:rsidRPr="005A6FD7">
        <w:rPr>
          <w:b/>
          <w:bCs/>
        </w:rPr>
        <w:t>satellite (5–15% of total equity)</w:t>
      </w:r>
      <w:r w:rsidRPr="005A6FD7">
        <w:t xml:space="preserve">, never as the core. Given that your global core ETF </w:t>
      </w:r>
      <w:r w:rsidRPr="005A6FD7">
        <w:rPr>
          <w:i/>
          <w:iCs/>
        </w:rPr>
        <w:t>already</w:t>
      </w:r>
      <w:r w:rsidRPr="005A6FD7">
        <w:t xml:space="preserve"> holds ~25-30%+ in tech/semis (MSCI World is ~30%+ technology sector), your AI/tech satellite is a </w:t>
      </w:r>
      <w:r w:rsidRPr="005A6FD7">
        <w:rPr>
          <w:b/>
          <w:bCs/>
        </w:rPr>
        <w:t>leveraging tilt on top of exposure you already have</w:t>
      </w:r>
      <w:r w:rsidRPr="005A6FD7">
        <w:t xml:space="preserve"> — size it accordingly.</w:t>
      </w:r>
    </w:p>
    <w:p w14:paraId="382FE941" w14:textId="77777777" w:rsidR="005A6FD7" w:rsidRPr="005A6FD7" w:rsidRDefault="005A6FD7" w:rsidP="005A6FD7">
      <w:r w:rsidRPr="005A6FD7">
        <w:pict w14:anchorId="464280F7">
          <v:rect id="_x0000_i1088" style="width:0;height:1.5pt" o:hralign="center" o:hrstd="t" o:hr="t" fillcolor="#a0a0a0" stroked="f"/>
        </w:pict>
      </w:r>
    </w:p>
    <w:p w14:paraId="211433D6" w14:textId="77777777" w:rsidR="005A6FD7" w:rsidRPr="005A6FD7" w:rsidRDefault="005A6FD7" w:rsidP="005A6FD7">
      <w:pPr>
        <w:rPr>
          <w:b/>
          <w:bCs/>
        </w:rPr>
      </w:pPr>
      <w:r w:rsidRPr="005A6FD7">
        <w:rPr>
          <w:b/>
          <w:bCs/>
        </w:rPr>
        <w:t>3. Recommended Allocation</w:t>
      </w:r>
    </w:p>
    <w:p w14:paraId="1F156EB0" w14:textId="77777777" w:rsidR="005A6FD7" w:rsidRPr="005A6FD7" w:rsidRDefault="005A6FD7" w:rsidP="005A6FD7">
      <w:r w:rsidRPr="005A6FD7">
        <w:t xml:space="preserve">Given: high risk tolerance, 20–30+ year horizon, no income </w:t>
      </w:r>
      <w:proofErr w:type="gramStart"/>
      <w:r w:rsidRPr="005A6FD7">
        <w:t>need</w:t>
      </w:r>
      <w:proofErr w:type="gramEnd"/>
      <w:r w:rsidRPr="005A6FD7">
        <w:t xml:space="preserve">, "keep it simple," and a desire for AI/tech upside — here is a portfolio built as </w:t>
      </w:r>
      <w:r w:rsidRPr="005A6FD7">
        <w:rPr>
          <w:b/>
          <w:bCs/>
        </w:rPr>
        <w:t>Core + Growth Tilt + Satellite</w:t>
      </w:r>
      <w:r w:rsidRPr="005A6FD7">
        <w:t>, in three tiers: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0"/>
        <w:gridCol w:w="1440"/>
        <w:gridCol w:w="1081"/>
        <w:gridCol w:w="5225"/>
      </w:tblGrid>
      <w:tr w:rsidR="005A6FD7" w:rsidRPr="005A6FD7" w14:paraId="65DCDDE2" w14:textId="77777777">
        <w:trPr>
          <w:tblHeader/>
          <w:tblCellSpacing w:w="15" w:type="dxa"/>
        </w:trPr>
        <w:tc>
          <w:tcPr>
            <w:tcW w:w="0" w:type="auto"/>
            <w:vAlign w:val="center"/>
            <w:hideMark/>
          </w:tcPr>
          <w:p w14:paraId="14441687" w14:textId="77777777" w:rsidR="005A6FD7" w:rsidRPr="005A6FD7" w:rsidRDefault="005A6FD7" w:rsidP="005A6FD7">
            <w:pPr>
              <w:rPr>
                <w:b/>
                <w:bCs/>
              </w:rPr>
            </w:pPr>
            <w:r w:rsidRPr="005A6FD7">
              <w:rPr>
                <w:b/>
                <w:bCs/>
              </w:rPr>
              <w:t>Tier</w:t>
            </w:r>
          </w:p>
        </w:tc>
        <w:tc>
          <w:tcPr>
            <w:tcW w:w="0" w:type="auto"/>
            <w:vAlign w:val="center"/>
            <w:hideMark/>
          </w:tcPr>
          <w:p w14:paraId="1321028D" w14:textId="77777777" w:rsidR="005A6FD7" w:rsidRPr="005A6FD7" w:rsidRDefault="005A6FD7" w:rsidP="005A6FD7">
            <w:pPr>
              <w:rPr>
                <w:b/>
                <w:bCs/>
              </w:rPr>
            </w:pPr>
            <w:r w:rsidRPr="005A6FD7">
              <w:rPr>
                <w:b/>
                <w:bCs/>
              </w:rPr>
              <w:t>Fund</w:t>
            </w:r>
          </w:p>
        </w:tc>
        <w:tc>
          <w:tcPr>
            <w:tcW w:w="0" w:type="auto"/>
            <w:vAlign w:val="center"/>
            <w:hideMark/>
          </w:tcPr>
          <w:p w14:paraId="746B95F7" w14:textId="77777777" w:rsidR="005A6FD7" w:rsidRPr="005A6FD7" w:rsidRDefault="005A6FD7" w:rsidP="005A6FD7">
            <w:pPr>
              <w:rPr>
                <w:b/>
                <w:bCs/>
              </w:rPr>
            </w:pPr>
            <w:r w:rsidRPr="005A6FD7">
              <w:rPr>
                <w:b/>
                <w:bCs/>
              </w:rPr>
              <w:t>Allocation</w:t>
            </w:r>
          </w:p>
        </w:tc>
        <w:tc>
          <w:tcPr>
            <w:tcW w:w="0" w:type="auto"/>
            <w:vAlign w:val="center"/>
            <w:hideMark/>
          </w:tcPr>
          <w:p w14:paraId="5E650E27" w14:textId="77777777" w:rsidR="005A6FD7" w:rsidRPr="005A6FD7" w:rsidRDefault="005A6FD7" w:rsidP="005A6FD7">
            <w:pPr>
              <w:rPr>
                <w:b/>
                <w:bCs/>
              </w:rPr>
            </w:pPr>
            <w:r w:rsidRPr="005A6FD7">
              <w:rPr>
                <w:b/>
                <w:bCs/>
              </w:rPr>
              <w:t>Why</w:t>
            </w:r>
          </w:p>
        </w:tc>
      </w:tr>
      <w:tr w:rsidR="005A6FD7" w:rsidRPr="005A6FD7" w14:paraId="55A2E789" w14:textId="77777777">
        <w:trPr>
          <w:tblCellSpacing w:w="15" w:type="dxa"/>
        </w:trPr>
        <w:tc>
          <w:tcPr>
            <w:tcW w:w="0" w:type="auto"/>
            <w:vAlign w:val="center"/>
            <w:hideMark/>
          </w:tcPr>
          <w:p w14:paraId="653920A2" w14:textId="77777777" w:rsidR="005A6FD7" w:rsidRPr="005A6FD7" w:rsidRDefault="005A6FD7" w:rsidP="005A6FD7">
            <w:r w:rsidRPr="005A6FD7">
              <w:rPr>
                <w:b/>
                <w:bCs/>
              </w:rPr>
              <w:t>Core (60%)</w:t>
            </w:r>
          </w:p>
        </w:tc>
        <w:tc>
          <w:tcPr>
            <w:tcW w:w="0" w:type="auto"/>
            <w:vAlign w:val="center"/>
            <w:hideMark/>
          </w:tcPr>
          <w:p w14:paraId="5BA5D884" w14:textId="77777777" w:rsidR="005A6FD7" w:rsidRPr="005A6FD7" w:rsidRDefault="005A6FD7" w:rsidP="005A6FD7">
            <w:r w:rsidRPr="005A6FD7">
              <w:t>Vanguard FTSE All-World (VWCE)</w:t>
            </w:r>
          </w:p>
        </w:tc>
        <w:tc>
          <w:tcPr>
            <w:tcW w:w="0" w:type="auto"/>
            <w:vAlign w:val="center"/>
            <w:hideMark/>
          </w:tcPr>
          <w:p w14:paraId="04702EDA" w14:textId="77777777" w:rsidR="005A6FD7" w:rsidRPr="005A6FD7" w:rsidRDefault="005A6FD7" w:rsidP="005A6FD7">
            <w:r w:rsidRPr="005A6FD7">
              <w:rPr>
                <w:b/>
                <w:bCs/>
              </w:rPr>
              <w:t>60%</w:t>
            </w:r>
          </w:p>
        </w:tc>
        <w:tc>
          <w:tcPr>
            <w:tcW w:w="0" w:type="auto"/>
            <w:vAlign w:val="center"/>
            <w:hideMark/>
          </w:tcPr>
          <w:p w14:paraId="5EC20E13" w14:textId="77777777" w:rsidR="005A6FD7" w:rsidRPr="005A6FD7" w:rsidRDefault="005A6FD7" w:rsidP="005A6FD7">
            <w:r w:rsidRPr="005A6FD7">
              <w:t>The foundation. Broad, cheap, self-cleaning (auto-adds winners, drops losers), includes EM. One fund does 90% of the diversification work.</w:t>
            </w:r>
          </w:p>
        </w:tc>
      </w:tr>
      <w:tr w:rsidR="005A6FD7" w:rsidRPr="005A6FD7" w14:paraId="1BCCBF74" w14:textId="77777777">
        <w:trPr>
          <w:tblCellSpacing w:w="15" w:type="dxa"/>
        </w:trPr>
        <w:tc>
          <w:tcPr>
            <w:tcW w:w="0" w:type="auto"/>
            <w:vAlign w:val="center"/>
            <w:hideMark/>
          </w:tcPr>
          <w:p w14:paraId="65995D8A" w14:textId="77777777" w:rsidR="005A6FD7" w:rsidRPr="005A6FD7" w:rsidRDefault="005A6FD7" w:rsidP="005A6FD7">
            <w:r w:rsidRPr="005A6FD7">
              <w:rPr>
                <w:b/>
                <w:bCs/>
              </w:rPr>
              <w:t>Growth tilt (25%)</w:t>
            </w:r>
          </w:p>
        </w:tc>
        <w:tc>
          <w:tcPr>
            <w:tcW w:w="0" w:type="auto"/>
            <w:vAlign w:val="center"/>
            <w:hideMark/>
          </w:tcPr>
          <w:p w14:paraId="47A6711E" w14:textId="77777777" w:rsidR="005A6FD7" w:rsidRPr="005A6FD7" w:rsidRDefault="005A6FD7" w:rsidP="005A6FD7">
            <w:r w:rsidRPr="005A6FD7">
              <w:t>Invesco EQQQ Nasdaq-100 (EQQQ)</w:t>
            </w:r>
          </w:p>
        </w:tc>
        <w:tc>
          <w:tcPr>
            <w:tcW w:w="0" w:type="auto"/>
            <w:vAlign w:val="center"/>
            <w:hideMark/>
          </w:tcPr>
          <w:p w14:paraId="574E5AA6" w14:textId="77777777" w:rsidR="005A6FD7" w:rsidRPr="005A6FD7" w:rsidRDefault="005A6FD7" w:rsidP="005A6FD7">
            <w:r w:rsidRPr="005A6FD7">
              <w:rPr>
                <w:b/>
                <w:bCs/>
              </w:rPr>
              <w:t>25%</w:t>
            </w:r>
          </w:p>
        </w:tc>
        <w:tc>
          <w:tcPr>
            <w:tcW w:w="0" w:type="auto"/>
            <w:vAlign w:val="center"/>
            <w:hideMark/>
          </w:tcPr>
          <w:p w14:paraId="73F86878" w14:textId="77777777" w:rsidR="005A6FD7" w:rsidRPr="005A6FD7" w:rsidRDefault="005A6FD7" w:rsidP="005A6FD7">
            <w:r w:rsidRPr="005A6FD7">
              <w:t>Deliberate concentration in US mega-cap growth/tech, where most AI monetization is currently happening. Already the highest-conviction "simple" way to overweight the theme without picking individual AI names.</w:t>
            </w:r>
          </w:p>
        </w:tc>
      </w:tr>
      <w:tr w:rsidR="005A6FD7" w:rsidRPr="005A6FD7" w14:paraId="79D7979A" w14:textId="77777777">
        <w:trPr>
          <w:tblCellSpacing w:w="15" w:type="dxa"/>
        </w:trPr>
        <w:tc>
          <w:tcPr>
            <w:tcW w:w="0" w:type="auto"/>
            <w:vAlign w:val="center"/>
            <w:hideMark/>
          </w:tcPr>
          <w:p w14:paraId="18D9825C" w14:textId="77777777" w:rsidR="005A6FD7" w:rsidRPr="005A6FD7" w:rsidRDefault="005A6FD7" w:rsidP="005A6FD7">
            <w:r w:rsidRPr="005A6FD7">
              <w:rPr>
                <w:b/>
                <w:bCs/>
              </w:rPr>
              <w:t>AI/Tech satellites (15%)</w:t>
            </w:r>
          </w:p>
        </w:tc>
        <w:tc>
          <w:tcPr>
            <w:tcW w:w="0" w:type="auto"/>
            <w:vAlign w:val="center"/>
            <w:hideMark/>
          </w:tcPr>
          <w:p w14:paraId="6B6AC641" w14:textId="77777777" w:rsidR="005A6FD7" w:rsidRPr="005A6FD7" w:rsidRDefault="005A6FD7" w:rsidP="005A6FD7">
            <w:r w:rsidRPr="005A6FD7">
              <w:t>Split across 2–3 funds below</w:t>
            </w:r>
          </w:p>
        </w:tc>
        <w:tc>
          <w:tcPr>
            <w:tcW w:w="0" w:type="auto"/>
            <w:vAlign w:val="center"/>
            <w:hideMark/>
          </w:tcPr>
          <w:p w14:paraId="7A44ACB6" w14:textId="77777777" w:rsidR="005A6FD7" w:rsidRPr="005A6FD7" w:rsidRDefault="005A6FD7" w:rsidP="005A6FD7">
            <w:r w:rsidRPr="005A6FD7">
              <w:rPr>
                <w:b/>
                <w:bCs/>
              </w:rPr>
              <w:t>15%</w:t>
            </w:r>
          </w:p>
        </w:tc>
        <w:tc>
          <w:tcPr>
            <w:tcW w:w="0" w:type="auto"/>
            <w:vAlign w:val="center"/>
            <w:hideMark/>
          </w:tcPr>
          <w:p w14:paraId="37A2C11F" w14:textId="77777777" w:rsidR="005A6FD7" w:rsidRPr="005A6FD7" w:rsidRDefault="005A6FD7" w:rsidP="005A6FD7">
            <w:r w:rsidRPr="005A6FD7">
              <w:t xml:space="preserve">Optionality on the </w:t>
            </w:r>
            <w:r w:rsidRPr="005A6FD7">
              <w:rPr>
                <w:i/>
                <w:iCs/>
              </w:rPr>
              <w:t>picks-and-shovels</w:t>
            </w:r>
            <w:r w:rsidRPr="005A6FD7">
              <w:t xml:space="preserve"> and adjacent layers not fully captured by Nasdaq-100 (semiconductor equipment, industrial robotics, EM tech, cybersecurity).</w:t>
            </w:r>
          </w:p>
        </w:tc>
      </w:tr>
    </w:tbl>
    <w:p w14:paraId="5EDFEAE0" w14:textId="77777777" w:rsidR="005A6FD7" w:rsidRPr="005A6FD7" w:rsidRDefault="005A6FD7" w:rsidP="005A6FD7">
      <w:r w:rsidRPr="005A6FD7">
        <w:rPr>
          <w:b/>
          <w:bCs/>
        </w:rPr>
        <w:t>Satellite split (within the 15%):</w:t>
      </w:r>
    </w:p>
    <w:p w14:paraId="4F427DFF" w14:textId="77777777" w:rsidR="005A6FD7" w:rsidRPr="005A6FD7" w:rsidRDefault="005A6FD7" w:rsidP="005A6FD7">
      <w:pPr>
        <w:numPr>
          <w:ilvl w:val="0"/>
          <w:numId w:val="6"/>
        </w:numPr>
      </w:pPr>
      <w:r w:rsidRPr="005A6FD7">
        <w:t xml:space="preserve">VanEck Semiconductor (SMH) — </w:t>
      </w:r>
      <w:r w:rsidRPr="005A6FD7">
        <w:rPr>
          <w:b/>
          <w:bCs/>
        </w:rPr>
        <w:t>7%</w:t>
      </w:r>
      <w:r w:rsidRPr="005A6FD7">
        <w:t xml:space="preserve"> of total portfolio (highest-conviction sub-theme)</w:t>
      </w:r>
    </w:p>
    <w:p w14:paraId="44E88BAF" w14:textId="77777777" w:rsidR="005A6FD7" w:rsidRPr="005A6FD7" w:rsidRDefault="005A6FD7" w:rsidP="005A6FD7">
      <w:pPr>
        <w:numPr>
          <w:ilvl w:val="0"/>
          <w:numId w:val="6"/>
        </w:numPr>
      </w:pPr>
      <w:r w:rsidRPr="005A6FD7">
        <w:t xml:space="preserve">iShares Automation &amp; Robotics (RBOT) — </w:t>
      </w:r>
      <w:r w:rsidRPr="005A6FD7">
        <w:rPr>
          <w:b/>
          <w:bCs/>
        </w:rPr>
        <w:t>4%</w:t>
      </w:r>
      <w:r w:rsidRPr="005A6FD7">
        <w:t xml:space="preserve"> of total portfolio (diversification into industrial automation, less overlap with Nasdaq-100)</w:t>
      </w:r>
    </w:p>
    <w:p w14:paraId="28438F91" w14:textId="77777777" w:rsidR="005A6FD7" w:rsidRPr="005A6FD7" w:rsidRDefault="005A6FD7" w:rsidP="005A6FD7">
      <w:pPr>
        <w:numPr>
          <w:ilvl w:val="0"/>
          <w:numId w:val="6"/>
        </w:numPr>
      </w:pPr>
      <w:r w:rsidRPr="005A6FD7">
        <w:t xml:space="preserve">iShares Digital Security (SHLD/2B7K) — </w:t>
      </w:r>
      <w:r w:rsidRPr="005A6FD7">
        <w:rPr>
          <w:b/>
          <w:bCs/>
        </w:rPr>
        <w:t>4%</w:t>
      </w:r>
      <w:r w:rsidRPr="005A6FD7">
        <w:t xml:space="preserve"> of total portfolio (lower correlation, non-discretionary spend thesis)</w:t>
      </w:r>
    </w:p>
    <w:p w14:paraId="42E78318" w14:textId="77777777" w:rsidR="005A6FD7" w:rsidRPr="005A6FD7" w:rsidRDefault="005A6FD7" w:rsidP="005A6FD7">
      <w:pPr>
        <w:rPr>
          <w:b/>
          <w:bCs/>
        </w:rPr>
      </w:pPr>
      <w:r w:rsidRPr="005A6FD7">
        <w:rPr>
          <w:b/>
          <w:bCs/>
        </w:rPr>
        <w:t>Why this shape and not something more complex</w:t>
      </w:r>
    </w:p>
    <w:p w14:paraId="469D0C41" w14:textId="77777777" w:rsidR="005A6FD7" w:rsidRPr="005A6FD7" w:rsidRDefault="005A6FD7" w:rsidP="005A6FD7">
      <w:pPr>
        <w:numPr>
          <w:ilvl w:val="0"/>
          <w:numId w:val="7"/>
        </w:numPr>
      </w:pPr>
      <w:r w:rsidRPr="005A6FD7">
        <w:rPr>
          <w:b/>
          <w:bCs/>
        </w:rPr>
        <w:t>60/25/15 is simple</w:t>
      </w:r>
      <w:r w:rsidRPr="005A6FD7">
        <w:t xml:space="preserve"> — three to five ETFs total, one rebalancing check per year, no forecasting required about </w:t>
      </w:r>
      <w:r w:rsidRPr="005A6FD7">
        <w:rPr>
          <w:i/>
          <w:iCs/>
        </w:rPr>
        <w:t>which</w:t>
      </w:r>
      <w:r w:rsidRPr="005A6FD7">
        <w:t xml:space="preserve"> AI company wins.</w:t>
      </w:r>
    </w:p>
    <w:p w14:paraId="11EBFFF8" w14:textId="77777777" w:rsidR="005A6FD7" w:rsidRPr="005A6FD7" w:rsidRDefault="005A6FD7" w:rsidP="005A6FD7">
      <w:pPr>
        <w:numPr>
          <w:ilvl w:val="0"/>
          <w:numId w:val="7"/>
        </w:numPr>
      </w:pPr>
      <w:r w:rsidRPr="005A6FD7">
        <w:t xml:space="preserve">It </w:t>
      </w:r>
      <w:r w:rsidRPr="005A6FD7">
        <w:rPr>
          <w:b/>
          <w:bCs/>
        </w:rPr>
        <w:t>respects the overlap problem</w:t>
      </w:r>
      <w:r w:rsidRPr="005A6FD7">
        <w:t xml:space="preserve">: rather than buying MSCI World + S&amp;P 500 + Nasdaq-100 (redundant), it uses one global core and deliberately sizes the growth/tech tilt so you know exactly how much extra concentration you're </w:t>
      </w:r>
      <w:proofErr w:type="gramStart"/>
      <w:r w:rsidRPr="005A6FD7">
        <w:t>taking, and</w:t>
      </w:r>
      <w:proofErr w:type="gramEnd"/>
      <w:r w:rsidRPr="005A6FD7">
        <w:t xml:space="preserve"> can dial it up or down later.</w:t>
      </w:r>
    </w:p>
    <w:p w14:paraId="25C78538" w14:textId="77777777" w:rsidR="005A6FD7" w:rsidRPr="005A6FD7" w:rsidRDefault="005A6FD7" w:rsidP="005A6FD7">
      <w:pPr>
        <w:numPr>
          <w:ilvl w:val="0"/>
          <w:numId w:val="7"/>
        </w:numPr>
      </w:pPr>
      <w:r w:rsidRPr="005A6FD7">
        <w:lastRenderedPageBreak/>
        <w:t xml:space="preserve">It </w:t>
      </w:r>
      <w:r w:rsidRPr="005A6FD7">
        <w:rPr>
          <w:b/>
          <w:bCs/>
        </w:rPr>
        <w:t>caps thematic risk</w:t>
      </w:r>
      <w:r w:rsidRPr="005A6FD7">
        <w:t xml:space="preserve"> at 15%, which is within the band professional allocators use for "satellite, not speculation."</w:t>
      </w:r>
    </w:p>
    <w:p w14:paraId="724E6AB1" w14:textId="77777777" w:rsidR="005A6FD7" w:rsidRPr="005A6FD7" w:rsidRDefault="005A6FD7" w:rsidP="005A6FD7">
      <w:pPr>
        <w:numPr>
          <w:ilvl w:val="0"/>
          <w:numId w:val="7"/>
        </w:numPr>
      </w:pPr>
      <w:r w:rsidRPr="005A6FD7">
        <w:t xml:space="preserve">All funds are UCITS, Ireland-domiciled, accumulating where available (see Section 8) — tax-efficient and rebalancing-friendly for a Dutch investor (no need to manage dividend reinvestment manually; relevant for Box 3 wealth tax where it's </w:t>
      </w:r>
      <w:r w:rsidRPr="005A6FD7">
        <w:rPr>
          <w:i/>
          <w:iCs/>
        </w:rPr>
        <w:t>asset value</w:t>
      </w:r>
      <w:r w:rsidRPr="005A6FD7">
        <w:t>, not dividend income, that matters — but confirm your own tax treatment with a Dutch tax advisor as Box 3 rules have been in flux).</w:t>
      </w:r>
    </w:p>
    <w:p w14:paraId="455FEEBA" w14:textId="77777777" w:rsidR="005A6FD7" w:rsidRPr="005A6FD7" w:rsidRDefault="005A6FD7" w:rsidP="005A6FD7">
      <w:pPr>
        <w:rPr>
          <w:b/>
          <w:bCs/>
        </w:rPr>
      </w:pPr>
      <w:r w:rsidRPr="005A6FD7">
        <w:rPr>
          <w:b/>
          <w:bCs/>
        </w:rPr>
        <w:t>A simpler two-fund alternative (if you truly want minimum complexity)</w:t>
      </w:r>
    </w:p>
    <w:p w14:paraId="0C563B1A" w14:textId="77777777" w:rsidR="005A6FD7" w:rsidRPr="005A6FD7" w:rsidRDefault="005A6FD7" w:rsidP="005A6FD7">
      <w:r w:rsidRPr="005A6FD7">
        <w:t xml:space="preserve">If even five funds </w:t>
      </w:r>
      <w:proofErr w:type="gramStart"/>
      <w:r w:rsidRPr="005A6FD7">
        <w:t>feels</w:t>
      </w:r>
      <w:proofErr w:type="gramEnd"/>
      <w:r w:rsidRPr="005A6FD7">
        <w:t xml:space="preserve"> like too much upkeep:</w:t>
      </w:r>
    </w:p>
    <w:p w14:paraId="63260CA4" w14:textId="77777777" w:rsidR="005A6FD7" w:rsidRPr="005A6FD7" w:rsidRDefault="005A6FD7" w:rsidP="005A6FD7">
      <w:pPr>
        <w:numPr>
          <w:ilvl w:val="0"/>
          <w:numId w:val="8"/>
        </w:numPr>
      </w:pPr>
      <w:r w:rsidRPr="005A6FD7">
        <w:rPr>
          <w:b/>
          <w:bCs/>
        </w:rPr>
        <w:t>80% VWCE + 20% EQQQ.</w:t>
      </w:r>
      <w:r w:rsidRPr="005A6FD7">
        <w:t xml:space="preserve"> This still captures a strong AI/growth tilt (Nasdaq-100 is stuffed with the exact companies building AI infrastructure) with only two funds and zero satellite rebalancing decisions. You give up the semiconductor/robotics/cybersecurity-specific diversification, but you gain simplicity. This is a legitimate choice if "simple" is your dominant preference over "optimal."</w:t>
      </w:r>
    </w:p>
    <w:p w14:paraId="45BFD242" w14:textId="77777777" w:rsidR="005A6FD7" w:rsidRPr="005A6FD7" w:rsidRDefault="005A6FD7" w:rsidP="005A6FD7">
      <w:r w:rsidRPr="005A6FD7">
        <w:pict w14:anchorId="005A5F72">
          <v:rect id="_x0000_i1089" style="width:0;height:1.5pt" o:hralign="center" o:hrstd="t" o:hr="t" fillcolor="#a0a0a0" stroked="f"/>
        </w:pict>
      </w:r>
    </w:p>
    <w:p w14:paraId="6AF21048" w14:textId="77777777" w:rsidR="005A6FD7" w:rsidRPr="005A6FD7" w:rsidRDefault="005A6FD7" w:rsidP="005A6FD7">
      <w:pPr>
        <w:rPr>
          <w:b/>
          <w:bCs/>
        </w:rPr>
      </w:pPr>
      <w:r w:rsidRPr="005A6FD7">
        <w:rPr>
          <w:b/>
          <w:bCs/>
        </w:rPr>
        <w:t>4. Investment Roadmap: €0 → €2,000,000</w:t>
      </w:r>
    </w:p>
    <w:p w14:paraId="63677FFB" w14:textId="77777777" w:rsidR="005A6FD7" w:rsidRPr="005A6FD7" w:rsidRDefault="005A6FD7" w:rsidP="005A6FD7">
      <w:r w:rsidRPr="005A6FD7">
        <w:t xml:space="preserve">This assumes contributions come from your 6%-of-profits ETF stream, plus market growth compounding on top. The euro amounts below are </w:t>
      </w:r>
      <w:r w:rsidRPr="005A6FD7">
        <w:rPr>
          <w:b/>
          <w:bCs/>
        </w:rPr>
        <w:t>invested capital milestones</w:t>
      </w:r>
      <w:r w:rsidRPr="005A6FD7">
        <w:t xml:space="preserve">, not "months to reach them" — your timeline depends entirely on trading profit volume, which I can't predict. Instead, treat each milestone as a </w:t>
      </w:r>
      <w:r w:rsidRPr="005A6FD7">
        <w:rPr>
          <w:b/>
          <w:bCs/>
        </w:rPr>
        <w:t>checkpoint to reassess strategy</w:t>
      </w:r>
      <w:r w:rsidRPr="005A6FD7">
        <w:t>, not a date on a calendar.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6"/>
        <w:gridCol w:w="4955"/>
        <w:gridCol w:w="3005"/>
      </w:tblGrid>
      <w:tr w:rsidR="005A6FD7" w:rsidRPr="005A6FD7" w14:paraId="76A8861F" w14:textId="77777777">
        <w:trPr>
          <w:tblHeader/>
          <w:tblCellSpacing w:w="15" w:type="dxa"/>
        </w:trPr>
        <w:tc>
          <w:tcPr>
            <w:tcW w:w="0" w:type="auto"/>
            <w:vAlign w:val="center"/>
            <w:hideMark/>
          </w:tcPr>
          <w:p w14:paraId="14A5BAB2" w14:textId="77777777" w:rsidR="005A6FD7" w:rsidRPr="005A6FD7" w:rsidRDefault="005A6FD7" w:rsidP="005A6FD7">
            <w:pPr>
              <w:rPr>
                <w:b/>
                <w:bCs/>
              </w:rPr>
            </w:pPr>
            <w:r w:rsidRPr="005A6FD7">
              <w:rPr>
                <w:b/>
                <w:bCs/>
              </w:rPr>
              <w:t>Milestone</w:t>
            </w:r>
          </w:p>
        </w:tc>
        <w:tc>
          <w:tcPr>
            <w:tcW w:w="0" w:type="auto"/>
            <w:vAlign w:val="center"/>
            <w:hideMark/>
          </w:tcPr>
          <w:p w14:paraId="34F7F177" w14:textId="77777777" w:rsidR="005A6FD7" w:rsidRPr="005A6FD7" w:rsidRDefault="005A6FD7" w:rsidP="005A6FD7">
            <w:pPr>
              <w:rPr>
                <w:b/>
                <w:bCs/>
              </w:rPr>
            </w:pPr>
            <w:r w:rsidRPr="005A6FD7">
              <w:rPr>
                <w:b/>
                <w:bCs/>
              </w:rPr>
              <w:t xml:space="preserve">Portfolio </w:t>
            </w:r>
            <w:proofErr w:type="spellStart"/>
            <w:r w:rsidRPr="005A6FD7">
              <w:rPr>
                <w:b/>
                <w:bCs/>
              </w:rPr>
              <w:t>behavior</w:t>
            </w:r>
            <w:proofErr w:type="spellEnd"/>
            <w:r w:rsidRPr="005A6FD7">
              <w:rPr>
                <w:b/>
                <w:bCs/>
              </w:rPr>
              <w:t xml:space="preserve"> / what changes</w:t>
            </w:r>
          </w:p>
        </w:tc>
        <w:tc>
          <w:tcPr>
            <w:tcW w:w="0" w:type="auto"/>
            <w:vAlign w:val="center"/>
            <w:hideMark/>
          </w:tcPr>
          <w:p w14:paraId="26F741EA" w14:textId="77777777" w:rsidR="005A6FD7" w:rsidRPr="005A6FD7" w:rsidRDefault="005A6FD7" w:rsidP="005A6FD7">
            <w:pPr>
              <w:rPr>
                <w:b/>
                <w:bCs/>
              </w:rPr>
            </w:pPr>
            <w:r w:rsidRPr="005A6FD7">
              <w:rPr>
                <w:b/>
                <w:bCs/>
              </w:rPr>
              <w:t>Psychological &amp; structural notes</w:t>
            </w:r>
          </w:p>
        </w:tc>
      </w:tr>
      <w:tr w:rsidR="005A6FD7" w:rsidRPr="005A6FD7" w14:paraId="64069643" w14:textId="77777777">
        <w:trPr>
          <w:tblCellSpacing w:w="15" w:type="dxa"/>
        </w:trPr>
        <w:tc>
          <w:tcPr>
            <w:tcW w:w="0" w:type="auto"/>
            <w:vAlign w:val="center"/>
            <w:hideMark/>
          </w:tcPr>
          <w:p w14:paraId="3A2E447B" w14:textId="77777777" w:rsidR="005A6FD7" w:rsidRPr="005A6FD7" w:rsidRDefault="005A6FD7" w:rsidP="005A6FD7">
            <w:r w:rsidRPr="005A6FD7">
              <w:rPr>
                <w:b/>
                <w:bCs/>
              </w:rPr>
              <w:t>€10k</w:t>
            </w:r>
          </w:p>
        </w:tc>
        <w:tc>
          <w:tcPr>
            <w:tcW w:w="0" w:type="auto"/>
            <w:vAlign w:val="center"/>
            <w:hideMark/>
          </w:tcPr>
          <w:p w14:paraId="1C05E7D8" w14:textId="77777777" w:rsidR="005A6FD7" w:rsidRPr="005A6FD7" w:rsidRDefault="005A6FD7" w:rsidP="005A6FD7">
            <w:r w:rsidRPr="005A6FD7">
              <w:t>Pure accumulation phase. Stick exactly to 60/25/15. Contributions dominate growth — don't worry about market swings.</w:t>
            </w:r>
          </w:p>
        </w:tc>
        <w:tc>
          <w:tcPr>
            <w:tcW w:w="0" w:type="auto"/>
            <w:vAlign w:val="center"/>
            <w:hideMark/>
          </w:tcPr>
          <w:p w14:paraId="299C160C" w14:textId="77777777" w:rsidR="005A6FD7" w:rsidRPr="005A6FD7" w:rsidRDefault="005A6FD7" w:rsidP="005A6FD7">
            <w:r w:rsidRPr="005A6FD7">
              <w:t>Focus on consistency of contribution, not performance. This is where most people quit; don't.</w:t>
            </w:r>
          </w:p>
        </w:tc>
      </w:tr>
      <w:tr w:rsidR="005A6FD7" w:rsidRPr="005A6FD7" w14:paraId="0CD74693" w14:textId="77777777">
        <w:trPr>
          <w:tblCellSpacing w:w="15" w:type="dxa"/>
        </w:trPr>
        <w:tc>
          <w:tcPr>
            <w:tcW w:w="0" w:type="auto"/>
            <w:vAlign w:val="center"/>
            <w:hideMark/>
          </w:tcPr>
          <w:p w14:paraId="6BBF6240" w14:textId="77777777" w:rsidR="005A6FD7" w:rsidRPr="005A6FD7" w:rsidRDefault="005A6FD7" w:rsidP="005A6FD7">
            <w:r w:rsidRPr="005A6FD7">
              <w:rPr>
                <w:b/>
                <w:bCs/>
              </w:rPr>
              <w:t>€25k</w:t>
            </w:r>
          </w:p>
        </w:tc>
        <w:tc>
          <w:tcPr>
            <w:tcW w:w="0" w:type="auto"/>
            <w:vAlign w:val="center"/>
            <w:hideMark/>
          </w:tcPr>
          <w:p w14:paraId="28293041" w14:textId="77777777" w:rsidR="005A6FD7" w:rsidRPr="005A6FD7" w:rsidRDefault="005A6FD7" w:rsidP="005A6FD7">
            <w:r w:rsidRPr="005A6FD7">
              <w:t>Same allocation. First real test of watching a 15–20% single-year drawdown on a "meaningful" number.</w:t>
            </w:r>
          </w:p>
        </w:tc>
        <w:tc>
          <w:tcPr>
            <w:tcW w:w="0" w:type="auto"/>
            <w:vAlign w:val="center"/>
            <w:hideMark/>
          </w:tcPr>
          <w:p w14:paraId="4F2D02F5" w14:textId="77777777" w:rsidR="005A6FD7" w:rsidRPr="005A6FD7" w:rsidRDefault="005A6FD7" w:rsidP="005A6FD7">
            <w:r w:rsidRPr="005A6FD7">
              <w:t>Confirm your broker/platform can handle recurring buys efficiently (fractional shares matter at this size).</w:t>
            </w:r>
          </w:p>
        </w:tc>
      </w:tr>
      <w:tr w:rsidR="005A6FD7" w:rsidRPr="005A6FD7" w14:paraId="48655D02" w14:textId="77777777">
        <w:trPr>
          <w:tblCellSpacing w:w="15" w:type="dxa"/>
        </w:trPr>
        <w:tc>
          <w:tcPr>
            <w:tcW w:w="0" w:type="auto"/>
            <w:vAlign w:val="center"/>
            <w:hideMark/>
          </w:tcPr>
          <w:p w14:paraId="39BB3983" w14:textId="77777777" w:rsidR="005A6FD7" w:rsidRPr="005A6FD7" w:rsidRDefault="005A6FD7" w:rsidP="005A6FD7">
            <w:r w:rsidRPr="005A6FD7">
              <w:rPr>
                <w:b/>
                <w:bCs/>
              </w:rPr>
              <w:t>€50k</w:t>
            </w:r>
          </w:p>
        </w:tc>
        <w:tc>
          <w:tcPr>
            <w:tcW w:w="0" w:type="auto"/>
            <w:vAlign w:val="center"/>
            <w:hideMark/>
          </w:tcPr>
          <w:p w14:paraId="5E9A34B3" w14:textId="77777777" w:rsidR="005A6FD7" w:rsidRPr="005A6FD7" w:rsidRDefault="005A6FD7" w:rsidP="005A6FD7">
            <w:r w:rsidRPr="005A6FD7">
              <w:t>Consider whether your 15% satellite sleeve has drifted (AI names can run hard) — first scheduled rebalance becomes meaningful in euro terms.</w:t>
            </w:r>
          </w:p>
        </w:tc>
        <w:tc>
          <w:tcPr>
            <w:tcW w:w="0" w:type="auto"/>
            <w:vAlign w:val="center"/>
            <w:hideMark/>
          </w:tcPr>
          <w:p w14:paraId="5CE49642" w14:textId="77777777" w:rsidR="005A6FD7" w:rsidRPr="005A6FD7" w:rsidRDefault="005A6FD7" w:rsidP="005A6FD7">
            <w:r w:rsidRPr="005A6FD7">
              <w:t>Start tracking cost basis for Dutch tax reporting (Box 3), even though ETFs are taxed on asset value, not realized gains, in NL.</w:t>
            </w:r>
          </w:p>
        </w:tc>
      </w:tr>
      <w:tr w:rsidR="005A6FD7" w:rsidRPr="005A6FD7" w14:paraId="68FFEBDD" w14:textId="77777777">
        <w:trPr>
          <w:tblCellSpacing w:w="15" w:type="dxa"/>
        </w:trPr>
        <w:tc>
          <w:tcPr>
            <w:tcW w:w="0" w:type="auto"/>
            <w:vAlign w:val="center"/>
            <w:hideMark/>
          </w:tcPr>
          <w:p w14:paraId="73ADF94E" w14:textId="77777777" w:rsidR="005A6FD7" w:rsidRPr="005A6FD7" w:rsidRDefault="005A6FD7" w:rsidP="005A6FD7">
            <w:r w:rsidRPr="005A6FD7">
              <w:rPr>
                <w:b/>
                <w:bCs/>
              </w:rPr>
              <w:t>€100k</w:t>
            </w:r>
          </w:p>
        </w:tc>
        <w:tc>
          <w:tcPr>
            <w:tcW w:w="0" w:type="auto"/>
            <w:vAlign w:val="center"/>
            <w:hideMark/>
          </w:tcPr>
          <w:p w14:paraId="74420E88" w14:textId="77777777" w:rsidR="005A6FD7" w:rsidRPr="005A6FD7" w:rsidRDefault="005A6FD7" w:rsidP="005A6FD7">
            <w:r w:rsidRPr="005A6FD7">
              <w:t xml:space="preserve">Psychologically significant. Reassess: has your risk tolerance </w:t>
            </w:r>
            <w:proofErr w:type="gramStart"/>
            <w:r w:rsidRPr="005A6FD7">
              <w:t>actually held</w:t>
            </w:r>
            <w:proofErr w:type="gramEnd"/>
            <w:r w:rsidRPr="005A6FD7">
              <w:t xml:space="preserve"> up through real drawdowns, or only in theory? Adjust satellite % down (not up) if the answer is "I got nervous."</w:t>
            </w:r>
          </w:p>
        </w:tc>
        <w:tc>
          <w:tcPr>
            <w:tcW w:w="0" w:type="auto"/>
            <w:vAlign w:val="center"/>
            <w:hideMark/>
          </w:tcPr>
          <w:p w14:paraId="25347882" w14:textId="77777777" w:rsidR="005A6FD7" w:rsidRPr="005A6FD7" w:rsidRDefault="005A6FD7" w:rsidP="005A6FD7">
            <w:r w:rsidRPr="005A6FD7">
              <w:t xml:space="preserve">This is a good point to formalize a written Investment Policy Statement (your own one-pager: target %, rebalance </w:t>
            </w:r>
            <w:r w:rsidRPr="005A6FD7">
              <w:lastRenderedPageBreak/>
              <w:t>rule, "do not sell in panic" rule).</w:t>
            </w:r>
          </w:p>
        </w:tc>
      </w:tr>
      <w:tr w:rsidR="005A6FD7" w:rsidRPr="005A6FD7" w14:paraId="2A393AAD" w14:textId="77777777">
        <w:trPr>
          <w:tblCellSpacing w:w="15" w:type="dxa"/>
        </w:trPr>
        <w:tc>
          <w:tcPr>
            <w:tcW w:w="0" w:type="auto"/>
            <w:vAlign w:val="center"/>
            <w:hideMark/>
          </w:tcPr>
          <w:p w14:paraId="3D0878EB" w14:textId="77777777" w:rsidR="005A6FD7" w:rsidRPr="005A6FD7" w:rsidRDefault="005A6FD7" w:rsidP="005A6FD7">
            <w:r w:rsidRPr="005A6FD7">
              <w:rPr>
                <w:b/>
                <w:bCs/>
              </w:rPr>
              <w:lastRenderedPageBreak/>
              <w:t>€250k</w:t>
            </w:r>
          </w:p>
        </w:tc>
        <w:tc>
          <w:tcPr>
            <w:tcW w:w="0" w:type="auto"/>
            <w:vAlign w:val="center"/>
            <w:hideMark/>
          </w:tcPr>
          <w:p w14:paraId="09139DF9" w14:textId="77777777" w:rsidR="005A6FD7" w:rsidRPr="005A6FD7" w:rsidRDefault="005A6FD7" w:rsidP="005A6FD7">
            <w:r w:rsidRPr="005A6FD7">
              <w:t>Consider adding a small amount of geographic/currency diversification thinking (Section 7) if US weight has drifted above ~80% of total equity due to Nasdaq/AI outperformance.</w:t>
            </w:r>
          </w:p>
        </w:tc>
        <w:tc>
          <w:tcPr>
            <w:tcW w:w="0" w:type="auto"/>
            <w:vAlign w:val="center"/>
            <w:hideMark/>
          </w:tcPr>
          <w:p w14:paraId="50A021B0" w14:textId="77777777" w:rsidR="005A6FD7" w:rsidRPr="005A6FD7" w:rsidRDefault="005A6FD7" w:rsidP="005A6FD7">
            <w:r w:rsidRPr="005A6FD7">
              <w:t>This is also a natural point to start thinking about whether you'll ever want partial liquidity (house deposit, etc.) — if so, carve that portion out of the growth-only mindset.</w:t>
            </w:r>
          </w:p>
        </w:tc>
      </w:tr>
      <w:tr w:rsidR="005A6FD7" w:rsidRPr="005A6FD7" w14:paraId="5B22B738" w14:textId="77777777">
        <w:trPr>
          <w:tblCellSpacing w:w="15" w:type="dxa"/>
        </w:trPr>
        <w:tc>
          <w:tcPr>
            <w:tcW w:w="0" w:type="auto"/>
            <w:vAlign w:val="center"/>
            <w:hideMark/>
          </w:tcPr>
          <w:p w14:paraId="708CBB3D" w14:textId="77777777" w:rsidR="005A6FD7" w:rsidRPr="005A6FD7" w:rsidRDefault="005A6FD7" w:rsidP="005A6FD7">
            <w:r w:rsidRPr="005A6FD7">
              <w:rPr>
                <w:b/>
                <w:bCs/>
              </w:rPr>
              <w:t>€500k</w:t>
            </w:r>
          </w:p>
        </w:tc>
        <w:tc>
          <w:tcPr>
            <w:tcW w:w="0" w:type="auto"/>
            <w:vAlign w:val="center"/>
            <w:hideMark/>
          </w:tcPr>
          <w:p w14:paraId="61F7FC6F" w14:textId="77777777" w:rsidR="005A6FD7" w:rsidRPr="005A6FD7" w:rsidRDefault="005A6FD7" w:rsidP="005A6FD7">
            <w:r w:rsidRPr="005A6FD7">
              <w:t>The portfolio itself is now a meaningful part of your net worth alongside the trading algorithm. Some investors begin very slightly trimming satellite % (e.g., 15%→10%) purely to reduce single-theme risk at larger absolute euro amounts — not required, but common.</w:t>
            </w:r>
          </w:p>
        </w:tc>
        <w:tc>
          <w:tcPr>
            <w:tcW w:w="0" w:type="auto"/>
            <w:vAlign w:val="center"/>
            <w:hideMark/>
          </w:tcPr>
          <w:p w14:paraId="019C101C" w14:textId="77777777" w:rsidR="005A6FD7" w:rsidRPr="005A6FD7" w:rsidRDefault="005A6FD7" w:rsidP="005A6FD7">
            <w:r w:rsidRPr="005A6FD7">
              <w:t>Consider professional tax/estate planning conversation given portfolio size.</w:t>
            </w:r>
          </w:p>
        </w:tc>
      </w:tr>
      <w:tr w:rsidR="005A6FD7" w:rsidRPr="005A6FD7" w14:paraId="09C7593F" w14:textId="77777777">
        <w:trPr>
          <w:tblCellSpacing w:w="15" w:type="dxa"/>
        </w:trPr>
        <w:tc>
          <w:tcPr>
            <w:tcW w:w="0" w:type="auto"/>
            <w:vAlign w:val="center"/>
            <w:hideMark/>
          </w:tcPr>
          <w:p w14:paraId="5DDBD043" w14:textId="77777777" w:rsidR="005A6FD7" w:rsidRPr="005A6FD7" w:rsidRDefault="005A6FD7" w:rsidP="005A6FD7">
            <w:r w:rsidRPr="005A6FD7">
              <w:rPr>
                <w:b/>
                <w:bCs/>
              </w:rPr>
              <w:t>€1M</w:t>
            </w:r>
          </w:p>
        </w:tc>
        <w:tc>
          <w:tcPr>
            <w:tcW w:w="0" w:type="auto"/>
            <w:vAlign w:val="center"/>
            <w:hideMark/>
          </w:tcPr>
          <w:p w14:paraId="54D17560" w14:textId="77777777" w:rsidR="005A6FD7" w:rsidRPr="005A6FD7" w:rsidRDefault="005A6FD7" w:rsidP="005A6FD7">
            <w:r w:rsidRPr="005A6FD7">
              <w:t xml:space="preserve">"Financial independence" territory depending on your spending needs. Some investors at this stage start a small, deliberate shift toward slightly lower volatility (still 100% equity is fine for 20+ year horizons, but the </w:t>
            </w:r>
            <w:r w:rsidRPr="005A6FD7">
              <w:rPr>
                <w:i/>
                <w:iCs/>
              </w:rPr>
              <w:t>conversation</w:t>
            </w:r>
            <w:r w:rsidRPr="005A6FD7">
              <w:t xml:space="preserve"> about eventual glide-path begins here).</w:t>
            </w:r>
          </w:p>
        </w:tc>
        <w:tc>
          <w:tcPr>
            <w:tcW w:w="0" w:type="auto"/>
            <w:vAlign w:val="center"/>
            <w:hideMark/>
          </w:tcPr>
          <w:p w14:paraId="0290D851" w14:textId="77777777" w:rsidR="005A6FD7" w:rsidRPr="005A6FD7" w:rsidRDefault="005A6FD7" w:rsidP="005A6FD7">
            <w:r w:rsidRPr="005A6FD7">
              <w:t xml:space="preserve">This is where "no need for dividend income" gets revisited — even at €1M+, accumulating funds remain fine if you don't need </w:t>
            </w:r>
            <w:proofErr w:type="gramStart"/>
            <w:r w:rsidRPr="005A6FD7">
              <w:t>cash flow, but</w:t>
            </w:r>
            <w:proofErr w:type="gramEnd"/>
            <w:r w:rsidRPr="005A6FD7">
              <w:t xml:space="preserve"> confirm this is still true for you.</w:t>
            </w:r>
          </w:p>
        </w:tc>
      </w:tr>
      <w:tr w:rsidR="005A6FD7" w:rsidRPr="005A6FD7" w14:paraId="0885DE89" w14:textId="77777777">
        <w:trPr>
          <w:tblCellSpacing w:w="15" w:type="dxa"/>
        </w:trPr>
        <w:tc>
          <w:tcPr>
            <w:tcW w:w="0" w:type="auto"/>
            <w:vAlign w:val="center"/>
            <w:hideMark/>
          </w:tcPr>
          <w:p w14:paraId="3FB773BF" w14:textId="77777777" w:rsidR="005A6FD7" w:rsidRPr="005A6FD7" w:rsidRDefault="005A6FD7" w:rsidP="005A6FD7">
            <w:r w:rsidRPr="005A6FD7">
              <w:rPr>
                <w:b/>
                <w:bCs/>
              </w:rPr>
              <w:t>€2M</w:t>
            </w:r>
          </w:p>
        </w:tc>
        <w:tc>
          <w:tcPr>
            <w:tcW w:w="0" w:type="auto"/>
            <w:vAlign w:val="center"/>
            <w:hideMark/>
          </w:tcPr>
          <w:p w14:paraId="7BE03726" w14:textId="77777777" w:rsidR="005A6FD7" w:rsidRPr="005A6FD7" w:rsidRDefault="005A6FD7" w:rsidP="005A6FD7">
            <w:r w:rsidRPr="005A6FD7">
              <w:t>You are now running an amount where sequence-of-returns risk matters if you ever plan to draw from it. If it remains a "never touch it" compounding account, no allocation change is needed. If a future decumulation phase is coming into view, that's a distinct new plan (bonds, cash buffer, withdrawal rate) — a topic for closer to the time, not now.</w:t>
            </w:r>
          </w:p>
        </w:tc>
        <w:tc>
          <w:tcPr>
            <w:tcW w:w="0" w:type="auto"/>
            <w:vAlign w:val="center"/>
            <w:hideMark/>
          </w:tcPr>
          <w:p w14:paraId="63B09660" w14:textId="77777777" w:rsidR="005A6FD7" w:rsidRPr="005A6FD7" w:rsidRDefault="005A6FD7" w:rsidP="005A6FD7">
            <w:r w:rsidRPr="005A6FD7">
              <w:t>Revisit whether the AI/tech satellite thesis still holds after a decade+ of data — theme investing should be reassessed periodically, not held on autopilot forever.</w:t>
            </w:r>
          </w:p>
        </w:tc>
      </w:tr>
    </w:tbl>
    <w:p w14:paraId="12B6D256" w14:textId="77777777" w:rsidR="005A6FD7" w:rsidRPr="005A6FD7" w:rsidRDefault="005A6FD7" w:rsidP="005A6FD7">
      <w:r w:rsidRPr="005A6FD7">
        <w:rPr>
          <w:b/>
          <w:bCs/>
        </w:rPr>
        <w:t>General evolution principle:</w:t>
      </w:r>
      <w:r w:rsidRPr="005A6FD7">
        <w:t xml:space="preserve"> the </w:t>
      </w:r>
      <w:r w:rsidRPr="005A6FD7">
        <w:rPr>
          <w:i/>
          <w:iCs/>
        </w:rPr>
        <w:t>allocation percentages</w:t>
      </w:r>
      <w:r w:rsidRPr="005A6FD7">
        <w:t xml:space="preserve"> (60/25/15) don't need to change with size. What changes with size is </w:t>
      </w:r>
      <w:r w:rsidRPr="005A6FD7">
        <w:rPr>
          <w:b/>
          <w:bCs/>
        </w:rPr>
        <w:t>governance</w:t>
      </w:r>
      <w:r w:rsidRPr="005A6FD7">
        <w:t xml:space="preserve"> — more formal rebalancing discipline, more tax awareness, and eventually (decades out) a decumulation conversation. Don't let a growing balance tempt you into more complexity; more money is a reason for </w:t>
      </w:r>
      <w:r w:rsidRPr="005A6FD7">
        <w:rPr>
          <w:i/>
          <w:iCs/>
        </w:rPr>
        <w:t>more</w:t>
      </w:r>
      <w:r w:rsidRPr="005A6FD7">
        <w:t xml:space="preserve"> discipline, not more funds.</w:t>
      </w:r>
    </w:p>
    <w:p w14:paraId="0AAFF94C" w14:textId="77777777" w:rsidR="005A6FD7" w:rsidRPr="005A6FD7" w:rsidRDefault="005A6FD7" w:rsidP="005A6FD7">
      <w:r w:rsidRPr="005A6FD7">
        <w:pict w14:anchorId="260C587B">
          <v:rect id="_x0000_i1090" style="width:0;height:1.5pt" o:hralign="center" o:hrstd="t" o:hr="t" fillcolor="#a0a0a0" stroked="f"/>
        </w:pict>
      </w:r>
    </w:p>
    <w:p w14:paraId="1BFB9A19" w14:textId="77777777" w:rsidR="005A6FD7" w:rsidRPr="005A6FD7" w:rsidRDefault="005A6FD7" w:rsidP="005A6FD7">
      <w:pPr>
        <w:rPr>
          <w:b/>
          <w:bCs/>
        </w:rPr>
      </w:pPr>
      <w:r w:rsidRPr="005A6FD7">
        <w:rPr>
          <w:b/>
          <w:bCs/>
        </w:rPr>
        <w:t>5. Monthly Investing Plan</w:t>
      </w:r>
    </w:p>
    <w:p w14:paraId="1E53817C" w14:textId="77777777" w:rsidR="005A6FD7" w:rsidRPr="005A6FD7" w:rsidRDefault="005A6FD7" w:rsidP="005A6FD7">
      <w:r w:rsidRPr="005A6FD7">
        <w:t xml:space="preserve">Every contribution = </w:t>
      </w:r>
      <w:r w:rsidRPr="005A6FD7">
        <w:rPr>
          <w:b/>
          <w:bCs/>
        </w:rPr>
        <w:t>6% of that period's trading profit</w:t>
      </w:r>
      <w:r w:rsidRPr="005A6FD7">
        <w:t xml:space="preserve"> (20% of the 30% personal allocation). Split every contribution the same way, every time, regardless of size: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2"/>
        <w:gridCol w:w="1278"/>
        <w:gridCol w:w="1265"/>
        <w:gridCol w:w="1009"/>
        <w:gridCol w:w="1080"/>
        <w:gridCol w:w="1112"/>
      </w:tblGrid>
      <w:tr w:rsidR="005A6FD7" w:rsidRPr="005A6FD7" w14:paraId="6EF24A74" w14:textId="77777777">
        <w:trPr>
          <w:tblHeader/>
          <w:tblCellSpacing w:w="15" w:type="dxa"/>
        </w:trPr>
        <w:tc>
          <w:tcPr>
            <w:tcW w:w="0" w:type="auto"/>
            <w:vAlign w:val="center"/>
            <w:hideMark/>
          </w:tcPr>
          <w:p w14:paraId="049B21B5" w14:textId="77777777" w:rsidR="005A6FD7" w:rsidRPr="005A6FD7" w:rsidRDefault="005A6FD7" w:rsidP="005A6FD7">
            <w:pPr>
              <w:rPr>
                <w:b/>
                <w:bCs/>
              </w:rPr>
            </w:pPr>
            <w:r w:rsidRPr="005A6FD7">
              <w:rPr>
                <w:b/>
                <w:bCs/>
              </w:rPr>
              <w:lastRenderedPageBreak/>
              <w:t>€ of new ETF contribution</w:t>
            </w:r>
          </w:p>
        </w:tc>
        <w:tc>
          <w:tcPr>
            <w:tcW w:w="0" w:type="auto"/>
            <w:vAlign w:val="center"/>
            <w:hideMark/>
          </w:tcPr>
          <w:p w14:paraId="4E68BDF2" w14:textId="77777777" w:rsidR="005A6FD7" w:rsidRPr="005A6FD7" w:rsidRDefault="005A6FD7" w:rsidP="005A6FD7">
            <w:pPr>
              <w:rPr>
                <w:b/>
                <w:bCs/>
              </w:rPr>
            </w:pPr>
            <w:r w:rsidRPr="005A6FD7">
              <w:rPr>
                <w:b/>
                <w:bCs/>
              </w:rPr>
              <w:t>VWCE (60%)</w:t>
            </w:r>
          </w:p>
        </w:tc>
        <w:tc>
          <w:tcPr>
            <w:tcW w:w="0" w:type="auto"/>
            <w:vAlign w:val="center"/>
            <w:hideMark/>
          </w:tcPr>
          <w:p w14:paraId="234BD8AA" w14:textId="77777777" w:rsidR="005A6FD7" w:rsidRPr="005A6FD7" w:rsidRDefault="005A6FD7" w:rsidP="005A6FD7">
            <w:pPr>
              <w:rPr>
                <w:b/>
                <w:bCs/>
              </w:rPr>
            </w:pPr>
            <w:r w:rsidRPr="005A6FD7">
              <w:rPr>
                <w:b/>
                <w:bCs/>
              </w:rPr>
              <w:t>EQQQ (25%)</w:t>
            </w:r>
          </w:p>
        </w:tc>
        <w:tc>
          <w:tcPr>
            <w:tcW w:w="0" w:type="auto"/>
            <w:vAlign w:val="center"/>
            <w:hideMark/>
          </w:tcPr>
          <w:p w14:paraId="2FC3ACE1" w14:textId="77777777" w:rsidR="005A6FD7" w:rsidRPr="005A6FD7" w:rsidRDefault="005A6FD7" w:rsidP="005A6FD7">
            <w:pPr>
              <w:rPr>
                <w:b/>
                <w:bCs/>
              </w:rPr>
            </w:pPr>
            <w:r w:rsidRPr="005A6FD7">
              <w:rPr>
                <w:b/>
                <w:bCs/>
              </w:rPr>
              <w:t>SMH (7%)</w:t>
            </w:r>
          </w:p>
        </w:tc>
        <w:tc>
          <w:tcPr>
            <w:tcW w:w="0" w:type="auto"/>
            <w:vAlign w:val="center"/>
            <w:hideMark/>
          </w:tcPr>
          <w:p w14:paraId="00CBF348" w14:textId="77777777" w:rsidR="005A6FD7" w:rsidRPr="005A6FD7" w:rsidRDefault="005A6FD7" w:rsidP="005A6FD7">
            <w:pPr>
              <w:rPr>
                <w:b/>
                <w:bCs/>
              </w:rPr>
            </w:pPr>
            <w:r w:rsidRPr="005A6FD7">
              <w:rPr>
                <w:b/>
                <w:bCs/>
              </w:rPr>
              <w:t>RBOT (4%)</w:t>
            </w:r>
          </w:p>
        </w:tc>
        <w:tc>
          <w:tcPr>
            <w:tcW w:w="0" w:type="auto"/>
            <w:vAlign w:val="center"/>
            <w:hideMark/>
          </w:tcPr>
          <w:p w14:paraId="2B40C5D5" w14:textId="77777777" w:rsidR="005A6FD7" w:rsidRPr="005A6FD7" w:rsidRDefault="005A6FD7" w:rsidP="005A6FD7">
            <w:pPr>
              <w:rPr>
                <w:b/>
                <w:bCs/>
              </w:rPr>
            </w:pPr>
            <w:r w:rsidRPr="005A6FD7">
              <w:rPr>
                <w:b/>
                <w:bCs/>
              </w:rPr>
              <w:t>SHLD (4%)</w:t>
            </w:r>
          </w:p>
        </w:tc>
      </w:tr>
      <w:tr w:rsidR="005A6FD7" w:rsidRPr="005A6FD7" w14:paraId="015A1725" w14:textId="77777777">
        <w:trPr>
          <w:tblCellSpacing w:w="15" w:type="dxa"/>
        </w:trPr>
        <w:tc>
          <w:tcPr>
            <w:tcW w:w="0" w:type="auto"/>
            <w:vAlign w:val="center"/>
            <w:hideMark/>
          </w:tcPr>
          <w:p w14:paraId="601F33D2" w14:textId="77777777" w:rsidR="005A6FD7" w:rsidRPr="005A6FD7" w:rsidRDefault="005A6FD7" w:rsidP="005A6FD7">
            <w:r w:rsidRPr="005A6FD7">
              <w:t>€100</w:t>
            </w:r>
          </w:p>
        </w:tc>
        <w:tc>
          <w:tcPr>
            <w:tcW w:w="0" w:type="auto"/>
            <w:vAlign w:val="center"/>
            <w:hideMark/>
          </w:tcPr>
          <w:p w14:paraId="2813E245" w14:textId="77777777" w:rsidR="005A6FD7" w:rsidRPr="005A6FD7" w:rsidRDefault="005A6FD7" w:rsidP="005A6FD7">
            <w:r w:rsidRPr="005A6FD7">
              <w:t>€60</w:t>
            </w:r>
          </w:p>
        </w:tc>
        <w:tc>
          <w:tcPr>
            <w:tcW w:w="0" w:type="auto"/>
            <w:vAlign w:val="center"/>
            <w:hideMark/>
          </w:tcPr>
          <w:p w14:paraId="1DDC48E3" w14:textId="77777777" w:rsidR="005A6FD7" w:rsidRPr="005A6FD7" w:rsidRDefault="005A6FD7" w:rsidP="005A6FD7">
            <w:r w:rsidRPr="005A6FD7">
              <w:t>€25</w:t>
            </w:r>
          </w:p>
        </w:tc>
        <w:tc>
          <w:tcPr>
            <w:tcW w:w="0" w:type="auto"/>
            <w:vAlign w:val="center"/>
            <w:hideMark/>
          </w:tcPr>
          <w:p w14:paraId="26E4DB72" w14:textId="77777777" w:rsidR="005A6FD7" w:rsidRPr="005A6FD7" w:rsidRDefault="005A6FD7" w:rsidP="005A6FD7">
            <w:r w:rsidRPr="005A6FD7">
              <w:t>€7</w:t>
            </w:r>
          </w:p>
        </w:tc>
        <w:tc>
          <w:tcPr>
            <w:tcW w:w="0" w:type="auto"/>
            <w:vAlign w:val="center"/>
            <w:hideMark/>
          </w:tcPr>
          <w:p w14:paraId="34C379FC" w14:textId="77777777" w:rsidR="005A6FD7" w:rsidRPr="005A6FD7" w:rsidRDefault="005A6FD7" w:rsidP="005A6FD7">
            <w:r w:rsidRPr="005A6FD7">
              <w:t>€4</w:t>
            </w:r>
          </w:p>
        </w:tc>
        <w:tc>
          <w:tcPr>
            <w:tcW w:w="0" w:type="auto"/>
            <w:vAlign w:val="center"/>
            <w:hideMark/>
          </w:tcPr>
          <w:p w14:paraId="4A2B7CA8" w14:textId="77777777" w:rsidR="005A6FD7" w:rsidRPr="005A6FD7" w:rsidRDefault="005A6FD7" w:rsidP="005A6FD7">
            <w:r w:rsidRPr="005A6FD7">
              <w:t>€4</w:t>
            </w:r>
          </w:p>
        </w:tc>
      </w:tr>
      <w:tr w:rsidR="005A6FD7" w:rsidRPr="005A6FD7" w14:paraId="78726DEB" w14:textId="77777777">
        <w:trPr>
          <w:tblCellSpacing w:w="15" w:type="dxa"/>
        </w:trPr>
        <w:tc>
          <w:tcPr>
            <w:tcW w:w="0" w:type="auto"/>
            <w:vAlign w:val="center"/>
            <w:hideMark/>
          </w:tcPr>
          <w:p w14:paraId="78369F4F" w14:textId="77777777" w:rsidR="005A6FD7" w:rsidRPr="005A6FD7" w:rsidRDefault="005A6FD7" w:rsidP="005A6FD7">
            <w:r w:rsidRPr="005A6FD7">
              <w:t>€600 (your example)</w:t>
            </w:r>
          </w:p>
        </w:tc>
        <w:tc>
          <w:tcPr>
            <w:tcW w:w="0" w:type="auto"/>
            <w:vAlign w:val="center"/>
            <w:hideMark/>
          </w:tcPr>
          <w:p w14:paraId="628A94BB" w14:textId="77777777" w:rsidR="005A6FD7" w:rsidRPr="005A6FD7" w:rsidRDefault="005A6FD7" w:rsidP="005A6FD7">
            <w:r w:rsidRPr="005A6FD7">
              <w:t>€360</w:t>
            </w:r>
          </w:p>
        </w:tc>
        <w:tc>
          <w:tcPr>
            <w:tcW w:w="0" w:type="auto"/>
            <w:vAlign w:val="center"/>
            <w:hideMark/>
          </w:tcPr>
          <w:p w14:paraId="7978B90D" w14:textId="77777777" w:rsidR="005A6FD7" w:rsidRPr="005A6FD7" w:rsidRDefault="005A6FD7" w:rsidP="005A6FD7">
            <w:r w:rsidRPr="005A6FD7">
              <w:t>€150</w:t>
            </w:r>
          </w:p>
        </w:tc>
        <w:tc>
          <w:tcPr>
            <w:tcW w:w="0" w:type="auto"/>
            <w:vAlign w:val="center"/>
            <w:hideMark/>
          </w:tcPr>
          <w:p w14:paraId="27600FE0" w14:textId="77777777" w:rsidR="005A6FD7" w:rsidRPr="005A6FD7" w:rsidRDefault="005A6FD7" w:rsidP="005A6FD7">
            <w:r w:rsidRPr="005A6FD7">
              <w:t>€42</w:t>
            </w:r>
          </w:p>
        </w:tc>
        <w:tc>
          <w:tcPr>
            <w:tcW w:w="0" w:type="auto"/>
            <w:vAlign w:val="center"/>
            <w:hideMark/>
          </w:tcPr>
          <w:p w14:paraId="2B4DCA6F" w14:textId="77777777" w:rsidR="005A6FD7" w:rsidRPr="005A6FD7" w:rsidRDefault="005A6FD7" w:rsidP="005A6FD7">
            <w:r w:rsidRPr="005A6FD7">
              <w:t>€24</w:t>
            </w:r>
          </w:p>
        </w:tc>
        <w:tc>
          <w:tcPr>
            <w:tcW w:w="0" w:type="auto"/>
            <w:vAlign w:val="center"/>
            <w:hideMark/>
          </w:tcPr>
          <w:p w14:paraId="625BD7CB" w14:textId="77777777" w:rsidR="005A6FD7" w:rsidRPr="005A6FD7" w:rsidRDefault="005A6FD7" w:rsidP="005A6FD7">
            <w:r w:rsidRPr="005A6FD7">
              <w:t>€24</w:t>
            </w:r>
          </w:p>
        </w:tc>
      </w:tr>
      <w:tr w:rsidR="005A6FD7" w:rsidRPr="005A6FD7" w14:paraId="774D09E9" w14:textId="77777777">
        <w:trPr>
          <w:tblCellSpacing w:w="15" w:type="dxa"/>
        </w:trPr>
        <w:tc>
          <w:tcPr>
            <w:tcW w:w="0" w:type="auto"/>
            <w:vAlign w:val="center"/>
            <w:hideMark/>
          </w:tcPr>
          <w:p w14:paraId="58EFD525" w14:textId="77777777" w:rsidR="005A6FD7" w:rsidRPr="005A6FD7" w:rsidRDefault="005A6FD7" w:rsidP="005A6FD7">
            <w:r w:rsidRPr="005A6FD7">
              <w:t>€1,000</w:t>
            </w:r>
          </w:p>
        </w:tc>
        <w:tc>
          <w:tcPr>
            <w:tcW w:w="0" w:type="auto"/>
            <w:vAlign w:val="center"/>
            <w:hideMark/>
          </w:tcPr>
          <w:p w14:paraId="03D0C130" w14:textId="77777777" w:rsidR="005A6FD7" w:rsidRPr="005A6FD7" w:rsidRDefault="005A6FD7" w:rsidP="005A6FD7">
            <w:r w:rsidRPr="005A6FD7">
              <w:t>€600</w:t>
            </w:r>
          </w:p>
        </w:tc>
        <w:tc>
          <w:tcPr>
            <w:tcW w:w="0" w:type="auto"/>
            <w:vAlign w:val="center"/>
            <w:hideMark/>
          </w:tcPr>
          <w:p w14:paraId="7A90129E" w14:textId="77777777" w:rsidR="005A6FD7" w:rsidRPr="005A6FD7" w:rsidRDefault="005A6FD7" w:rsidP="005A6FD7">
            <w:r w:rsidRPr="005A6FD7">
              <w:t>€250</w:t>
            </w:r>
          </w:p>
        </w:tc>
        <w:tc>
          <w:tcPr>
            <w:tcW w:w="0" w:type="auto"/>
            <w:vAlign w:val="center"/>
            <w:hideMark/>
          </w:tcPr>
          <w:p w14:paraId="042742D8" w14:textId="77777777" w:rsidR="005A6FD7" w:rsidRPr="005A6FD7" w:rsidRDefault="005A6FD7" w:rsidP="005A6FD7">
            <w:r w:rsidRPr="005A6FD7">
              <w:t>€70</w:t>
            </w:r>
          </w:p>
        </w:tc>
        <w:tc>
          <w:tcPr>
            <w:tcW w:w="0" w:type="auto"/>
            <w:vAlign w:val="center"/>
            <w:hideMark/>
          </w:tcPr>
          <w:p w14:paraId="713C0D4A" w14:textId="77777777" w:rsidR="005A6FD7" w:rsidRPr="005A6FD7" w:rsidRDefault="005A6FD7" w:rsidP="005A6FD7">
            <w:r w:rsidRPr="005A6FD7">
              <w:t>€40</w:t>
            </w:r>
          </w:p>
        </w:tc>
        <w:tc>
          <w:tcPr>
            <w:tcW w:w="0" w:type="auto"/>
            <w:vAlign w:val="center"/>
            <w:hideMark/>
          </w:tcPr>
          <w:p w14:paraId="27D6D243" w14:textId="77777777" w:rsidR="005A6FD7" w:rsidRPr="005A6FD7" w:rsidRDefault="005A6FD7" w:rsidP="005A6FD7">
            <w:r w:rsidRPr="005A6FD7">
              <w:t>€40</w:t>
            </w:r>
          </w:p>
        </w:tc>
      </w:tr>
    </w:tbl>
    <w:p w14:paraId="61822AFA" w14:textId="77777777" w:rsidR="005A6FD7" w:rsidRPr="005A6FD7" w:rsidRDefault="005A6FD7" w:rsidP="005A6FD7">
      <w:r w:rsidRPr="005A6FD7">
        <w:rPr>
          <w:b/>
          <w:bCs/>
        </w:rPr>
        <w:t>Practical execution notes:</w:t>
      </w:r>
    </w:p>
    <w:p w14:paraId="59B7920F" w14:textId="77777777" w:rsidR="005A6FD7" w:rsidRPr="005A6FD7" w:rsidRDefault="005A6FD7" w:rsidP="005A6FD7">
      <w:pPr>
        <w:numPr>
          <w:ilvl w:val="0"/>
          <w:numId w:val="9"/>
        </w:numPr>
      </w:pPr>
      <w:r w:rsidRPr="005A6FD7">
        <w:t xml:space="preserve">Most brokers (DEGIRO, Trade Republic, Scalable Capital, etc.) support </w:t>
      </w:r>
      <w:r w:rsidRPr="005A6FD7">
        <w:rPr>
          <w:b/>
          <w:bCs/>
        </w:rPr>
        <w:t>automated monthly savings plans</w:t>
      </w:r>
      <w:r w:rsidRPr="005A6FD7">
        <w:t xml:space="preserve"> for these exact tickers — set percentage-based auto-invest so you're not manually splitting every contribution.</w:t>
      </w:r>
    </w:p>
    <w:p w14:paraId="726B3019" w14:textId="77777777" w:rsidR="005A6FD7" w:rsidRPr="005A6FD7" w:rsidRDefault="005A6FD7" w:rsidP="005A6FD7">
      <w:pPr>
        <w:numPr>
          <w:ilvl w:val="0"/>
          <w:numId w:val="9"/>
        </w:numPr>
      </w:pPr>
      <w:r w:rsidRPr="005A6FD7">
        <w:t xml:space="preserve">If a monthly contribution is too small to split five ways without excessive fractional/fee drag (e.g., under ~€150–200 total), consider </w:t>
      </w:r>
      <w:r w:rsidRPr="005A6FD7">
        <w:rPr>
          <w:b/>
          <w:bCs/>
        </w:rPr>
        <w:t>rotating</w:t>
      </w:r>
      <w:r w:rsidRPr="005A6FD7">
        <w:t>: one month buy VWCE+EQQQ, next month top up the satellites, so every euro still lands in the target ratio over a quarter, just not every single month.</w:t>
      </w:r>
    </w:p>
    <w:p w14:paraId="15212971" w14:textId="77777777" w:rsidR="005A6FD7" w:rsidRPr="005A6FD7" w:rsidRDefault="005A6FD7" w:rsidP="005A6FD7">
      <w:pPr>
        <w:numPr>
          <w:ilvl w:val="0"/>
          <w:numId w:val="9"/>
        </w:numPr>
      </w:pPr>
      <w:r w:rsidRPr="005A6FD7">
        <w:t>Never let trading-algorithm withdrawal timing dictate ETF purchase timing precision — DCA (dollar-cost averaging) monthly regardless of whether that month's profit was large or small smooths out your entry price and removes any temptation to "time" contributions around market conditions.</w:t>
      </w:r>
    </w:p>
    <w:p w14:paraId="343F9F5B" w14:textId="77777777" w:rsidR="005A6FD7" w:rsidRPr="005A6FD7" w:rsidRDefault="005A6FD7" w:rsidP="005A6FD7">
      <w:r w:rsidRPr="005A6FD7">
        <w:pict w14:anchorId="42AB25C6">
          <v:rect id="_x0000_i1091" style="width:0;height:1.5pt" o:hralign="center" o:hrstd="t" o:hr="t" fillcolor="#a0a0a0" stroked="f"/>
        </w:pict>
      </w:r>
    </w:p>
    <w:p w14:paraId="07D12E98" w14:textId="77777777" w:rsidR="005A6FD7" w:rsidRPr="005A6FD7" w:rsidRDefault="005A6FD7" w:rsidP="005A6FD7">
      <w:pPr>
        <w:rPr>
          <w:b/>
          <w:bCs/>
        </w:rPr>
      </w:pPr>
      <w:r w:rsidRPr="005A6FD7">
        <w:rPr>
          <w:b/>
          <w:bCs/>
        </w:rPr>
        <w:t>6. Long-Term Projections</w:t>
      </w:r>
    </w:p>
    <w:p w14:paraId="7EF52A19" w14:textId="77777777" w:rsidR="005A6FD7" w:rsidRPr="005A6FD7" w:rsidRDefault="005A6FD7" w:rsidP="005A6FD7">
      <w:r w:rsidRPr="005A6FD7">
        <w:rPr>
          <w:b/>
          <w:bCs/>
        </w:rPr>
        <w:t>Method:</w:t>
      </w:r>
      <w:r w:rsidRPr="005A6FD7">
        <w:t xml:space="preserve"> compound growth on invested capital only (excludes any additional monthly contributions, to isolate the "what does existing capital become" question). These are illustrative scenarios, not forecasts — nobody knows future returns, and real returns will not be a smooth straight line; expect years of -20% to +30% along the way.</w:t>
      </w:r>
    </w:p>
    <w:p w14:paraId="1E5CF9B8" w14:textId="77777777" w:rsidR="005A6FD7" w:rsidRPr="005A6FD7" w:rsidRDefault="005A6FD7" w:rsidP="005A6FD7">
      <w:pPr>
        <w:rPr>
          <w:b/>
          <w:bCs/>
        </w:rPr>
      </w:pPr>
      <w:r w:rsidRPr="005A6FD7">
        <w:rPr>
          <w:b/>
          <w:bCs/>
        </w:rPr>
        <w:t>Growth of a single €10,000 invested today (no further contributions)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883"/>
        <w:gridCol w:w="883"/>
        <w:gridCol w:w="961"/>
      </w:tblGrid>
      <w:tr w:rsidR="005A6FD7" w:rsidRPr="005A6FD7" w14:paraId="087BDE8F" w14:textId="77777777">
        <w:trPr>
          <w:tblHeader/>
          <w:tblCellSpacing w:w="15" w:type="dxa"/>
        </w:trPr>
        <w:tc>
          <w:tcPr>
            <w:tcW w:w="0" w:type="auto"/>
            <w:vAlign w:val="center"/>
            <w:hideMark/>
          </w:tcPr>
          <w:p w14:paraId="6FE4CC67" w14:textId="77777777" w:rsidR="005A6FD7" w:rsidRPr="005A6FD7" w:rsidRDefault="005A6FD7" w:rsidP="005A6FD7">
            <w:pPr>
              <w:rPr>
                <w:b/>
                <w:bCs/>
              </w:rPr>
            </w:pPr>
            <w:r w:rsidRPr="005A6FD7">
              <w:rPr>
                <w:b/>
                <w:bCs/>
              </w:rPr>
              <w:t>Return assumption</w:t>
            </w:r>
          </w:p>
        </w:tc>
        <w:tc>
          <w:tcPr>
            <w:tcW w:w="0" w:type="auto"/>
            <w:vAlign w:val="center"/>
            <w:hideMark/>
          </w:tcPr>
          <w:p w14:paraId="37826CFA" w14:textId="77777777" w:rsidR="005A6FD7" w:rsidRPr="005A6FD7" w:rsidRDefault="005A6FD7" w:rsidP="005A6FD7">
            <w:pPr>
              <w:rPr>
                <w:b/>
                <w:bCs/>
              </w:rPr>
            </w:pPr>
            <w:r w:rsidRPr="005A6FD7">
              <w:rPr>
                <w:b/>
                <w:bCs/>
              </w:rPr>
              <w:t>10 years</w:t>
            </w:r>
          </w:p>
        </w:tc>
        <w:tc>
          <w:tcPr>
            <w:tcW w:w="0" w:type="auto"/>
            <w:vAlign w:val="center"/>
            <w:hideMark/>
          </w:tcPr>
          <w:p w14:paraId="219B797B" w14:textId="77777777" w:rsidR="005A6FD7" w:rsidRPr="005A6FD7" w:rsidRDefault="005A6FD7" w:rsidP="005A6FD7">
            <w:pPr>
              <w:rPr>
                <w:b/>
                <w:bCs/>
              </w:rPr>
            </w:pPr>
            <w:r w:rsidRPr="005A6FD7">
              <w:rPr>
                <w:b/>
                <w:bCs/>
              </w:rPr>
              <w:t>20 years</w:t>
            </w:r>
          </w:p>
        </w:tc>
        <w:tc>
          <w:tcPr>
            <w:tcW w:w="0" w:type="auto"/>
            <w:vAlign w:val="center"/>
            <w:hideMark/>
          </w:tcPr>
          <w:p w14:paraId="6490222C" w14:textId="77777777" w:rsidR="005A6FD7" w:rsidRPr="005A6FD7" w:rsidRDefault="005A6FD7" w:rsidP="005A6FD7">
            <w:pPr>
              <w:rPr>
                <w:b/>
                <w:bCs/>
              </w:rPr>
            </w:pPr>
            <w:r w:rsidRPr="005A6FD7">
              <w:rPr>
                <w:b/>
                <w:bCs/>
              </w:rPr>
              <w:t>30 years</w:t>
            </w:r>
          </w:p>
        </w:tc>
      </w:tr>
      <w:tr w:rsidR="005A6FD7" w:rsidRPr="005A6FD7" w14:paraId="71EDF1F4" w14:textId="77777777">
        <w:trPr>
          <w:tblCellSpacing w:w="15" w:type="dxa"/>
        </w:trPr>
        <w:tc>
          <w:tcPr>
            <w:tcW w:w="0" w:type="auto"/>
            <w:vAlign w:val="center"/>
            <w:hideMark/>
          </w:tcPr>
          <w:p w14:paraId="1315CEFF" w14:textId="77777777" w:rsidR="005A6FD7" w:rsidRPr="005A6FD7" w:rsidRDefault="005A6FD7" w:rsidP="005A6FD7">
            <w:r w:rsidRPr="005A6FD7">
              <w:t>7%</w:t>
            </w:r>
          </w:p>
        </w:tc>
        <w:tc>
          <w:tcPr>
            <w:tcW w:w="0" w:type="auto"/>
            <w:vAlign w:val="center"/>
            <w:hideMark/>
          </w:tcPr>
          <w:p w14:paraId="46B2C535" w14:textId="77777777" w:rsidR="005A6FD7" w:rsidRPr="005A6FD7" w:rsidRDefault="005A6FD7" w:rsidP="005A6FD7">
            <w:r w:rsidRPr="005A6FD7">
              <w:t>€19,672</w:t>
            </w:r>
          </w:p>
        </w:tc>
        <w:tc>
          <w:tcPr>
            <w:tcW w:w="0" w:type="auto"/>
            <w:vAlign w:val="center"/>
            <w:hideMark/>
          </w:tcPr>
          <w:p w14:paraId="53446169" w14:textId="77777777" w:rsidR="005A6FD7" w:rsidRPr="005A6FD7" w:rsidRDefault="005A6FD7" w:rsidP="005A6FD7">
            <w:r w:rsidRPr="005A6FD7">
              <w:t>€38,697</w:t>
            </w:r>
          </w:p>
        </w:tc>
        <w:tc>
          <w:tcPr>
            <w:tcW w:w="0" w:type="auto"/>
            <w:vAlign w:val="center"/>
            <w:hideMark/>
          </w:tcPr>
          <w:p w14:paraId="0159ED36" w14:textId="77777777" w:rsidR="005A6FD7" w:rsidRPr="005A6FD7" w:rsidRDefault="005A6FD7" w:rsidP="005A6FD7">
            <w:r w:rsidRPr="005A6FD7">
              <w:t>€76,123</w:t>
            </w:r>
          </w:p>
        </w:tc>
      </w:tr>
      <w:tr w:rsidR="005A6FD7" w:rsidRPr="005A6FD7" w14:paraId="7B84A86A" w14:textId="77777777">
        <w:trPr>
          <w:tblCellSpacing w:w="15" w:type="dxa"/>
        </w:trPr>
        <w:tc>
          <w:tcPr>
            <w:tcW w:w="0" w:type="auto"/>
            <w:vAlign w:val="center"/>
            <w:hideMark/>
          </w:tcPr>
          <w:p w14:paraId="50680677" w14:textId="77777777" w:rsidR="005A6FD7" w:rsidRPr="005A6FD7" w:rsidRDefault="005A6FD7" w:rsidP="005A6FD7">
            <w:r w:rsidRPr="005A6FD7">
              <w:t>9%</w:t>
            </w:r>
          </w:p>
        </w:tc>
        <w:tc>
          <w:tcPr>
            <w:tcW w:w="0" w:type="auto"/>
            <w:vAlign w:val="center"/>
            <w:hideMark/>
          </w:tcPr>
          <w:p w14:paraId="41CCED1B" w14:textId="77777777" w:rsidR="005A6FD7" w:rsidRPr="005A6FD7" w:rsidRDefault="005A6FD7" w:rsidP="005A6FD7">
            <w:r w:rsidRPr="005A6FD7">
              <w:t>€23,674</w:t>
            </w:r>
          </w:p>
        </w:tc>
        <w:tc>
          <w:tcPr>
            <w:tcW w:w="0" w:type="auto"/>
            <w:vAlign w:val="center"/>
            <w:hideMark/>
          </w:tcPr>
          <w:p w14:paraId="6DB0F188" w14:textId="77777777" w:rsidR="005A6FD7" w:rsidRPr="005A6FD7" w:rsidRDefault="005A6FD7" w:rsidP="005A6FD7">
            <w:r w:rsidRPr="005A6FD7">
              <w:t>€56,044</w:t>
            </w:r>
          </w:p>
        </w:tc>
        <w:tc>
          <w:tcPr>
            <w:tcW w:w="0" w:type="auto"/>
            <w:vAlign w:val="center"/>
            <w:hideMark/>
          </w:tcPr>
          <w:p w14:paraId="382EEE9C" w14:textId="77777777" w:rsidR="005A6FD7" w:rsidRPr="005A6FD7" w:rsidRDefault="005A6FD7" w:rsidP="005A6FD7">
            <w:r w:rsidRPr="005A6FD7">
              <w:t>€132,677</w:t>
            </w:r>
          </w:p>
        </w:tc>
      </w:tr>
      <w:tr w:rsidR="005A6FD7" w:rsidRPr="005A6FD7" w14:paraId="60520FCB" w14:textId="77777777">
        <w:trPr>
          <w:tblCellSpacing w:w="15" w:type="dxa"/>
        </w:trPr>
        <w:tc>
          <w:tcPr>
            <w:tcW w:w="0" w:type="auto"/>
            <w:vAlign w:val="center"/>
            <w:hideMark/>
          </w:tcPr>
          <w:p w14:paraId="2B3DF13B" w14:textId="77777777" w:rsidR="005A6FD7" w:rsidRPr="005A6FD7" w:rsidRDefault="005A6FD7" w:rsidP="005A6FD7">
            <w:r w:rsidRPr="005A6FD7">
              <w:t>11%</w:t>
            </w:r>
          </w:p>
        </w:tc>
        <w:tc>
          <w:tcPr>
            <w:tcW w:w="0" w:type="auto"/>
            <w:vAlign w:val="center"/>
            <w:hideMark/>
          </w:tcPr>
          <w:p w14:paraId="025C2EB1" w14:textId="77777777" w:rsidR="005A6FD7" w:rsidRPr="005A6FD7" w:rsidRDefault="005A6FD7" w:rsidP="005A6FD7">
            <w:r w:rsidRPr="005A6FD7">
              <w:t>€28,394</w:t>
            </w:r>
          </w:p>
        </w:tc>
        <w:tc>
          <w:tcPr>
            <w:tcW w:w="0" w:type="auto"/>
            <w:vAlign w:val="center"/>
            <w:hideMark/>
          </w:tcPr>
          <w:p w14:paraId="2577F001" w14:textId="77777777" w:rsidR="005A6FD7" w:rsidRPr="005A6FD7" w:rsidRDefault="005A6FD7" w:rsidP="005A6FD7">
            <w:r w:rsidRPr="005A6FD7">
              <w:t>€80,623</w:t>
            </w:r>
          </w:p>
        </w:tc>
        <w:tc>
          <w:tcPr>
            <w:tcW w:w="0" w:type="auto"/>
            <w:vAlign w:val="center"/>
            <w:hideMark/>
          </w:tcPr>
          <w:p w14:paraId="053F1695" w14:textId="77777777" w:rsidR="005A6FD7" w:rsidRPr="005A6FD7" w:rsidRDefault="005A6FD7" w:rsidP="005A6FD7">
            <w:r w:rsidRPr="005A6FD7">
              <w:t>€228,923</w:t>
            </w:r>
          </w:p>
        </w:tc>
      </w:tr>
    </w:tbl>
    <w:p w14:paraId="4734CB64" w14:textId="77777777" w:rsidR="005A6FD7" w:rsidRPr="005A6FD7" w:rsidRDefault="005A6FD7" w:rsidP="005A6FD7">
      <w:pPr>
        <w:rPr>
          <w:b/>
          <w:bCs/>
        </w:rPr>
      </w:pPr>
      <w:r w:rsidRPr="005A6FD7">
        <w:rPr>
          <w:b/>
          <w:bCs/>
        </w:rPr>
        <w:t>Growth of €500/month contributions (illustrative — adjust to your real average monthly ETF inflow)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1063"/>
        <w:gridCol w:w="1063"/>
        <w:gridCol w:w="1259"/>
      </w:tblGrid>
      <w:tr w:rsidR="005A6FD7" w:rsidRPr="005A6FD7" w14:paraId="08F37943" w14:textId="77777777">
        <w:trPr>
          <w:tblHeader/>
          <w:tblCellSpacing w:w="15" w:type="dxa"/>
        </w:trPr>
        <w:tc>
          <w:tcPr>
            <w:tcW w:w="0" w:type="auto"/>
            <w:vAlign w:val="center"/>
            <w:hideMark/>
          </w:tcPr>
          <w:p w14:paraId="4F6BA3B4" w14:textId="77777777" w:rsidR="005A6FD7" w:rsidRPr="005A6FD7" w:rsidRDefault="005A6FD7" w:rsidP="005A6FD7">
            <w:pPr>
              <w:rPr>
                <w:b/>
                <w:bCs/>
              </w:rPr>
            </w:pPr>
            <w:r w:rsidRPr="005A6FD7">
              <w:rPr>
                <w:b/>
                <w:bCs/>
              </w:rPr>
              <w:t>Return assumption</w:t>
            </w:r>
          </w:p>
        </w:tc>
        <w:tc>
          <w:tcPr>
            <w:tcW w:w="0" w:type="auto"/>
            <w:vAlign w:val="center"/>
            <w:hideMark/>
          </w:tcPr>
          <w:p w14:paraId="6F740B33" w14:textId="77777777" w:rsidR="005A6FD7" w:rsidRPr="005A6FD7" w:rsidRDefault="005A6FD7" w:rsidP="005A6FD7">
            <w:pPr>
              <w:rPr>
                <w:b/>
                <w:bCs/>
              </w:rPr>
            </w:pPr>
            <w:r w:rsidRPr="005A6FD7">
              <w:rPr>
                <w:b/>
                <w:bCs/>
              </w:rPr>
              <w:t>10 years</w:t>
            </w:r>
          </w:p>
        </w:tc>
        <w:tc>
          <w:tcPr>
            <w:tcW w:w="0" w:type="auto"/>
            <w:vAlign w:val="center"/>
            <w:hideMark/>
          </w:tcPr>
          <w:p w14:paraId="51DEA96C" w14:textId="77777777" w:rsidR="005A6FD7" w:rsidRPr="005A6FD7" w:rsidRDefault="005A6FD7" w:rsidP="005A6FD7">
            <w:pPr>
              <w:rPr>
                <w:b/>
                <w:bCs/>
              </w:rPr>
            </w:pPr>
            <w:r w:rsidRPr="005A6FD7">
              <w:rPr>
                <w:b/>
                <w:bCs/>
              </w:rPr>
              <w:t>20 years</w:t>
            </w:r>
          </w:p>
        </w:tc>
        <w:tc>
          <w:tcPr>
            <w:tcW w:w="0" w:type="auto"/>
            <w:vAlign w:val="center"/>
            <w:hideMark/>
          </w:tcPr>
          <w:p w14:paraId="661684D9" w14:textId="77777777" w:rsidR="005A6FD7" w:rsidRPr="005A6FD7" w:rsidRDefault="005A6FD7" w:rsidP="005A6FD7">
            <w:pPr>
              <w:rPr>
                <w:b/>
                <w:bCs/>
              </w:rPr>
            </w:pPr>
            <w:r w:rsidRPr="005A6FD7">
              <w:rPr>
                <w:b/>
                <w:bCs/>
              </w:rPr>
              <w:t>30 years</w:t>
            </w:r>
          </w:p>
        </w:tc>
      </w:tr>
      <w:tr w:rsidR="005A6FD7" w:rsidRPr="005A6FD7" w14:paraId="59F66734" w14:textId="77777777">
        <w:trPr>
          <w:tblCellSpacing w:w="15" w:type="dxa"/>
        </w:trPr>
        <w:tc>
          <w:tcPr>
            <w:tcW w:w="0" w:type="auto"/>
            <w:vAlign w:val="center"/>
            <w:hideMark/>
          </w:tcPr>
          <w:p w14:paraId="7F7FBF8D" w14:textId="77777777" w:rsidR="005A6FD7" w:rsidRPr="005A6FD7" w:rsidRDefault="005A6FD7" w:rsidP="005A6FD7">
            <w:r w:rsidRPr="005A6FD7">
              <w:t>7%</w:t>
            </w:r>
          </w:p>
        </w:tc>
        <w:tc>
          <w:tcPr>
            <w:tcW w:w="0" w:type="auto"/>
            <w:vAlign w:val="center"/>
            <w:hideMark/>
          </w:tcPr>
          <w:p w14:paraId="62E4779C" w14:textId="77777777" w:rsidR="005A6FD7" w:rsidRPr="005A6FD7" w:rsidRDefault="005A6FD7" w:rsidP="005A6FD7">
            <w:r w:rsidRPr="005A6FD7">
              <w:t>~€86,500</w:t>
            </w:r>
          </w:p>
        </w:tc>
        <w:tc>
          <w:tcPr>
            <w:tcW w:w="0" w:type="auto"/>
            <w:vAlign w:val="center"/>
            <w:hideMark/>
          </w:tcPr>
          <w:p w14:paraId="71CD9162" w14:textId="77777777" w:rsidR="005A6FD7" w:rsidRPr="005A6FD7" w:rsidRDefault="005A6FD7" w:rsidP="005A6FD7">
            <w:r w:rsidRPr="005A6FD7">
              <w:t>~€260,500</w:t>
            </w:r>
          </w:p>
        </w:tc>
        <w:tc>
          <w:tcPr>
            <w:tcW w:w="0" w:type="auto"/>
            <w:vAlign w:val="center"/>
            <w:hideMark/>
          </w:tcPr>
          <w:p w14:paraId="764F4426" w14:textId="77777777" w:rsidR="005A6FD7" w:rsidRPr="005A6FD7" w:rsidRDefault="005A6FD7" w:rsidP="005A6FD7">
            <w:r w:rsidRPr="005A6FD7">
              <w:t>~€610,500</w:t>
            </w:r>
          </w:p>
        </w:tc>
      </w:tr>
      <w:tr w:rsidR="005A6FD7" w:rsidRPr="005A6FD7" w14:paraId="7DC5C298" w14:textId="77777777">
        <w:trPr>
          <w:tblCellSpacing w:w="15" w:type="dxa"/>
        </w:trPr>
        <w:tc>
          <w:tcPr>
            <w:tcW w:w="0" w:type="auto"/>
            <w:vAlign w:val="center"/>
            <w:hideMark/>
          </w:tcPr>
          <w:p w14:paraId="5CE22A67" w14:textId="77777777" w:rsidR="005A6FD7" w:rsidRPr="005A6FD7" w:rsidRDefault="005A6FD7" w:rsidP="005A6FD7">
            <w:r w:rsidRPr="005A6FD7">
              <w:t>9%</w:t>
            </w:r>
          </w:p>
        </w:tc>
        <w:tc>
          <w:tcPr>
            <w:tcW w:w="0" w:type="auto"/>
            <w:vAlign w:val="center"/>
            <w:hideMark/>
          </w:tcPr>
          <w:p w14:paraId="6B819C90" w14:textId="77777777" w:rsidR="005A6FD7" w:rsidRPr="005A6FD7" w:rsidRDefault="005A6FD7" w:rsidP="005A6FD7">
            <w:r w:rsidRPr="005A6FD7">
              <w:t>~€96,700</w:t>
            </w:r>
          </w:p>
        </w:tc>
        <w:tc>
          <w:tcPr>
            <w:tcW w:w="0" w:type="auto"/>
            <w:vAlign w:val="center"/>
            <w:hideMark/>
          </w:tcPr>
          <w:p w14:paraId="666036C6" w14:textId="77777777" w:rsidR="005A6FD7" w:rsidRPr="005A6FD7" w:rsidRDefault="005A6FD7" w:rsidP="005A6FD7">
            <w:r w:rsidRPr="005A6FD7">
              <w:t>~€334,000</w:t>
            </w:r>
          </w:p>
        </w:tc>
        <w:tc>
          <w:tcPr>
            <w:tcW w:w="0" w:type="auto"/>
            <w:vAlign w:val="center"/>
            <w:hideMark/>
          </w:tcPr>
          <w:p w14:paraId="14222A84" w14:textId="77777777" w:rsidR="005A6FD7" w:rsidRPr="005A6FD7" w:rsidRDefault="005A6FD7" w:rsidP="005A6FD7">
            <w:r w:rsidRPr="005A6FD7">
              <w:t>~€925,000</w:t>
            </w:r>
          </w:p>
        </w:tc>
      </w:tr>
      <w:tr w:rsidR="005A6FD7" w:rsidRPr="005A6FD7" w14:paraId="3A2974AA" w14:textId="77777777">
        <w:trPr>
          <w:tblCellSpacing w:w="15" w:type="dxa"/>
        </w:trPr>
        <w:tc>
          <w:tcPr>
            <w:tcW w:w="0" w:type="auto"/>
            <w:vAlign w:val="center"/>
            <w:hideMark/>
          </w:tcPr>
          <w:p w14:paraId="26C74DB6" w14:textId="77777777" w:rsidR="005A6FD7" w:rsidRPr="005A6FD7" w:rsidRDefault="005A6FD7" w:rsidP="005A6FD7">
            <w:r w:rsidRPr="005A6FD7">
              <w:t>11%</w:t>
            </w:r>
          </w:p>
        </w:tc>
        <w:tc>
          <w:tcPr>
            <w:tcW w:w="0" w:type="auto"/>
            <w:vAlign w:val="center"/>
            <w:hideMark/>
          </w:tcPr>
          <w:p w14:paraId="46FD08C6" w14:textId="77777777" w:rsidR="005A6FD7" w:rsidRPr="005A6FD7" w:rsidRDefault="005A6FD7" w:rsidP="005A6FD7">
            <w:r w:rsidRPr="005A6FD7">
              <w:t>~€108,300</w:t>
            </w:r>
          </w:p>
        </w:tc>
        <w:tc>
          <w:tcPr>
            <w:tcW w:w="0" w:type="auto"/>
            <w:vAlign w:val="center"/>
            <w:hideMark/>
          </w:tcPr>
          <w:p w14:paraId="74465C9B" w14:textId="77777777" w:rsidR="005A6FD7" w:rsidRPr="005A6FD7" w:rsidRDefault="005A6FD7" w:rsidP="005A6FD7">
            <w:r w:rsidRPr="005A6FD7">
              <w:t>~€434,000</w:t>
            </w:r>
          </w:p>
        </w:tc>
        <w:tc>
          <w:tcPr>
            <w:tcW w:w="0" w:type="auto"/>
            <w:vAlign w:val="center"/>
            <w:hideMark/>
          </w:tcPr>
          <w:p w14:paraId="4A5BADDB" w14:textId="77777777" w:rsidR="005A6FD7" w:rsidRPr="005A6FD7" w:rsidRDefault="005A6FD7" w:rsidP="005A6FD7">
            <w:r w:rsidRPr="005A6FD7">
              <w:t>~€1,450,000</w:t>
            </w:r>
          </w:p>
        </w:tc>
      </w:tr>
    </w:tbl>
    <w:p w14:paraId="636D69E2" w14:textId="77777777" w:rsidR="005A6FD7" w:rsidRPr="005A6FD7" w:rsidRDefault="005A6FD7" w:rsidP="005A6FD7">
      <w:r w:rsidRPr="005A6FD7">
        <w:rPr>
          <w:b/>
          <w:bCs/>
        </w:rPr>
        <w:lastRenderedPageBreak/>
        <w:t>Reading these numbers correctly:</w:t>
      </w:r>
    </w:p>
    <w:p w14:paraId="7783F1EB" w14:textId="77777777" w:rsidR="005A6FD7" w:rsidRPr="005A6FD7" w:rsidRDefault="005A6FD7" w:rsidP="005A6FD7">
      <w:pPr>
        <w:numPr>
          <w:ilvl w:val="0"/>
          <w:numId w:val="10"/>
        </w:numPr>
      </w:pPr>
      <w:r w:rsidRPr="005A6FD7">
        <w:t xml:space="preserve">The </w:t>
      </w:r>
      <w:r w:rsidRPr="005A6FD7">
        <w:rPr>
          <w:b/>
          <w:bCs/>
        </w:rPr>
        <w:t>difference between 7% and 11%</w:t>
      </w:r>
      <w:r w:rsidRPr="005A6FD7">
        <w:t xml:space="preserve"> compounds enormously over 30 years — this is why fees (TER) matter: a 0.4% fee drag is not "small," it's a persistent tax on every year of compounding.</w:t>
      </w:r>
    </w:p>
    <w:p w14:paraId="1BE4B704" w14:textId="77777777" w:rsidR="005A6FD7" w:rsidRPr="005A6FD7" w:rsidRDefault="005A6FD7" w:rsidP="005A6FD7">
      <w:pPr>
        <w:numPr>
          <w:ilvl w:val="0"/>
          <w:numId w:val="10"/>
        </w:numPr>
      </w:pPr>
      <w:r w:rsidRPr="005A6FD7">
        <w:t>These numbers assume no panic-selling during drawdowns. Historically, MSCI World / S&amp;P 500 have delivered nominal returns in the 7-10% range over multi-decade periods, but with real years of -30% to -50% drawdowns along the way (2000-02, 2008-09, 2020, 2022). The 30-year number is only real if you survive the -40% years without selling.</w:t>
      </w:r>
    </w:p>
    <w:p w14:paraId="304DC4A2" w14:textId="77777777" w:rsidR="005A6FD7" w:rsidRPr="005A6FD7" w:rsidRDefault="005A6FD7" w:rsidP="005A6FD7">
      <w:pPr>
        <w:numPr>
          <w:ilvl w:val="0"/>
          <w:numId w:val="10"/>
        </w:numPr>
      </w:pPr>
      <w:r w:rsidRPr="005A6FD7">
        <w:t xml:space="preserve">Your </w:t>
      </w:r>
      <w:r w:rsidRPr="005A6FD7">
        <w:rPr>
          <w:b/>
          <w:bCs/>
        </w:rPr>
        <w:t>actual contribution rate</w:t>
      </w:r>
      <w:r w:rsidRPr="005A6FD7">
        <w:t xml:space="preserve"> (6% of trading profits, which could vary a lot year to year) matters far more to your final number than the exact return assumption you pick. Focus your energy on consistent contributions, not on guessing whether returns will be 7% or 11%.</w:t>
      </w:r>
    </w:p>
    <w:p w14:paraId="327D4CD3" w14:textId="77777777" w:rsidR="005A6FD7" w:rsidRPr="005A6FD7" w:rsidRDefault="005A6FD7" w:rsidP="005A6FD7">
      <w:r w:rsidRPr="005A6FD7">
        <w:pict w14:anchorId="3AD502E8">
          <v:rect id="_x0000_i1092" style="width:0;height:1.5pt" o:hralign="center" o:hrstd="t" o:hr="t" fillcolor="#a0a0a0" stroked="f"/>
        </w:pict>
      </w:r>
    </w:p>
    <w:p w14:paraId="0BF9098E" w14:textId="77777777" w:rsidR="005A6FD7" w:rsidRPr="005A6FD7" w:rsidRDefault="005A6FD7" w:rsidP="005A6FD7">
      <w:pPr>
        <w:rPr>
          <w:b/>
          <w:bCs/>
        </w:rPr>
      </w:pPr>
      <w:r w:rsidRPr="005A6FD7">
        <w:rPr>
          <w:b/>
          <w:bCs/>
        </w:rPr>
        <w:t>7. Risk Analysis</w:t>
      </w:r>
    </w:p>
    <w:p w14:paraId="6BF04A53" w14:textId="77777777" w:rsidR="005A6FD7" w:rsidRPr="005A6FD7" w:rsidRDefault="005A6FD7" w:rsidP="005A6FD7">
      <w:r w:rsidRPr="005A6FD7">
        <w:rPr>
          <w:b/>
          <w:bCs/>
        </w:rPr>
        <w:t>US concentration risk.</w:t>
      </w:r>
      <w:r w:rsidRPr="005A6FD7">
        <w:t xml:space="preserve"> All four core index options (MSCI World, FTSE All-World, S&amp;P 500, Nasdaq-100) are 62-100% US. Your satellite sleeve is also majority-US. This means your ETF portfolio's fate is heavily tied to US corporate earnings, US regulatory policy, and US equity valuations — a real structural bet, </w:t>
      </w:r>
      <w:proofErr w:type="gramStart"/>
      <w:r w:rsidRPr="005A6FD7">
        <w:t>whether or not</w:t>
      </w:r>
      <w:proofErr w:type="gramEnd"/>
      <w:r w:rsidRPr="005A6FD7">
        <w:t xml:space="preserve"> you intend it as one. Diversified globally in theory (FTSE All-World has 4,000 holdings</w:t>
      </w:r>
      <w:proofErr w:type="gramStart"/>
      <w:r w:rsidRPr="005A6FD7">
        <w:t>), but</w:t>
      </w:r>
      <w:proofErr w:type="gramEnd"/>
      <w:r w:rsidRPr="005A6FD7">
        <w:t xml:space="preserve"> concentrated by country in practice.</w:t>
      </w:r>
    </w:p>
    <w:p w14:paraId="7C6045C3" w14:textId="77777777" w:rsidR="005A6FD7" w:rsidRPr="005A6FD7" w:rsidRDefault="005A6FD7" w:rsidP="005A6FD7">
      <w:r w:rsidRPr="005A6FD7">
        <w:rPr>
          <w:b/>
          <w:bCs/>
        </w:rPr>
        <w:t>Nasdaq-100 / mega-cap valuation risk.</w:t>
      </w:r>
      <w:r w:rsidRPr="005A6FD7">
        <w:t xml:space="preserve"> The Nasdaq-100 currently trades at elevated valuations relative to long-run history, concentrated in a handful of mega-cap tech names. A prolonged de-rating of "Magnificent 7"-style names (as happened to the dot-com leaders 2000-2002, though the analogy is imperfect) would disproportionately hurt the 25% Nasdaq-100 tilt and the AI satellites simultaneously, since they overlap in holdings.</w:t>
      </w:r>
    </w:p>
    <w:p w14:paraId="14615489" w14:textId="77777777" w:rsidR="005A6FD7" w:rsidRPr="005A6FD7" w:rsidRDefault="005A6FD7" w:rsidP="005A6FD7">
      <w:r w:rsidRPr="005A6FD7">
        <w:rPr>
          <w:b/>
          <w:bCs/>
        </w:rPr>
        <w:t>AI bubble risk.</w:t>
      </w:r>
      <w:r w:rsidRPr="005A6FD7">
        <w:t xml:space="preserve"> The core uncertainty: is current AI capex (data </w:t>
      </w:r>
      <w:proofErr w:type="spellStart"/>
      <w:r w:rsidRPr="005A6FD7">
        <w:t>centers</w:t>
      </w:r>
      <w:proofErr w:type="spellEnd"/>
      <w:r w:rsidRPr="005A6FD7">
        <w:t xml:space="preserve">, chips, models) generating durable earnings growth, or is it a capital-intensive cycle that overshoots demand (as telecom </w:t>
      </w:r>
      <w:proofErr w:type="spellStart"/>
      <w:r w:rsidRPr="005A6FD7">
        <w:t>fiber</w:t>
      </w:r>
      <w:proofErr w:type="spellEnd"/>
      <w:r w:rsidRPr="005A6FD7">
        <w:t xml:space="preserve"> buildout did in the late 1990s)? Nobody — including professional analysts — can answer this with confidence today. The satellite sizing (15%, capped) in this plan is a direct response to that uncertainty: enough exposure to participate if the thesis plays out, small enough that a severe correction in AI-related names doesn't derail your 30-year plan.</w:t>
      </w:r>
    </w:p>
    <w:p w14:paraId="74F4C7A2" w14:textId="77777777" w:rsidR="005A6FD7" w:rsidRPr="005A6FD7" w:rsidRDefault="005A6FD7" w:rsidP="005A6FD7">
      <w:r w:rsidRPr="005A6FD7">
        <w:rPr>
          <w:b/>
          <w:bCs/>
        </w:rPr>
        <w:t>Currency risk for a EUR investor.</w:t>
      </w:r>
      <w:r w:rsidRPr="005A6FD7">
        <w:t xml:space="preserve"> Nearly all these ETFs are USD-denominated in underlying holdings (even though they trade in EUR on European exchanges). If EUR strengthens materially against USD over your holding period, your EUR-denominated returns will lag the USD index return, and vice versa if EUR weakens. Over multi-decade horizons this tends to average out somewhat, but it adds </w:t>
      </w:r>
      <w:proofErr w:type="gramStart"/>
      <w:r w:rsidRPr="005A6FD7">
        <w:t>real</w:t>
      </w:r>
      <w:proofErr w:type="gramEnd"/>
      <w:r w:rsidRPr="005A6FD7">
        <w:t xml:space="preserve"> short-to-medium-term volatility. Currency-hedged share classes exist but carry extra cost (~0.1-0.2% additional TER) and are generally not recommended for equity (as opposed to bond) allocations over very long horizons, since hedging costs compound while the diversification benefit of unhedged currency exposure is debated but non-zero.</w:t>
      </w:r>
    </w:p>
    <w:p w14:paraId="6D9B9712" w14:textId="77777777" w:rsidR="005A6FD7" w:rsidRPr="005A6FD7" w:rsidRDefault="005A6FD7" w:rsidP="005A6FD7">
      <w:r w:rsidRPr="005A6FD7">
        <w:rPr>
          <w:b/>
          <w:bCs/>
        </w:rPr>
        <w:t>Why diversification still matters even if the trading algorithm performs well.</w:t>
      </w:r>
      <w:r w:rsidRPr="005A6FD7">
        <w:t xml:space="preserve"> This is worth stating plainly: strategy risk and market risk are different animals. A profitable algorithm can still face regime change (the market conditions it was built for stop existing), execution/infrastructure risk (exchange, broker, API, or platform failure), overfitting risk (a </w:t>
      </w:r>
      <w:proofErr w:type="spellStart"/>
      <w:r w:rsidRPr="005A6FD7">
        <w:lastRenderedPageBreak/>
        <w:t>backtest</w:t>
      </w:r>
      <w:proofErr w:type="spellEnd"/>
      <w:r w:rsidRPr="005A6FD7">
        <w:t xml:space="preserve"> edge that was partly noise), and single-point-of-failure risk (it depends on you, your code, your capital, your broker). None of these risks are hedged by the algorithm generating more profit — they're only hedged by moving capital into something structurally unrelated to the algorithm's mechanics. That's precisely the role this ETF portfolio plays: </w:t>
      </w:r>
      <w:proofErr w:type="gramStart"/>
      <w:r w:rsidRPr="005A6FD7">
        <w:t>it's</w:t>
      </w:r>
      <w:proofErr w:type="gramEnd"/>
      <w:r w:rsidRPr="005A6FD7">
        <w:t xml:space="preserve"> payoff is generated by global corporate earnings growth, not by your model continuing to find an edge.</w:t>
      </w:r>
    </w:p>
    <w:p w14:paraId="04FF8C3F" w14:textId="77777777" w:rsidR="005A6FD7" w:rsidRPr="005A6FD7" w:rsidRDefault="005A6FD7" w:rsidP="005A6FD7">
      <w:r w:rsidRPr="005A6FD7">
        <w:pict w14:anchorId="18DD604A">
          <v:rect id="_x0000_i1093" style="width:0;height:1.5pt" o:hralign="center" o:hrstd="t" o:hr="t" fillcolor="#a0a0a0" stroked="f"/>
        </w:pict>
      </w:r>
    </w:p>
    <w:p w14:paraId="5AB4065B" w14:textId="77777777" w:rsidR="005A6FD7" w:rsidRPr="005A6FD7" w:rsidRDefault="005A6FD7" w:rsidP="005A6FD7">
      <w:pPr>
        <w:rPr>
          <w:b/>
          <w:bCs/>
        </w:rPr>
      </w:pPr>
      <w:r w:rsidRPr="005A6FD7">
        <w:rPr>
          <w:b/>
          <w:bCs/>
        </w:rPr>
        <w:t>8. Actual UCITS ETFs — Ticker, ISIN, TER, Structure</w:t>
      </w:r>
    </w:p>
    <w:p w14:paraId="4764B71C" w14:textId="77777777" w:rsidR="005A6FD7" w:rsidRPr="005A6FD7" w:rsidRDefault="005A6FD7" w:rsidP="005A6FD7">
      <w:r w:rsidRPr="005A6FD7">
        <w:rPr>
          <w:i/>
          <w:iCs/>
        </w:rPr>
        <w:t>(Data below reflects publicly available fund information as of mid-2026; TERs, fund sizes, and share-class availability can change — confirm current details before trading.)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0"/>
        <w:gridCol w:w="650"/>
        <w:gridCol w:w="1478"/>
        <w:gridCol w:w="640"/>
        <w:gridCol w:w="1170"/>
        <w:gridCol w:w="1338"/>
        <w:gridCol w:w="2250"/>
      </w:tblGrid>
      <w:tr w:rsidR="005A6FD7" w:rsidRPr="005A6FD7" w14:paraId="15BB93C7" w14:textId="77777777">
        <w:trPr>
          <w:tblHeader/>
          <w:tblCellSpacing w:w="15" w:type="dxa"/>
        </w:trPr>
        <w:tc>
          <w:tcPr>
            <w:tcW w:w="0" w:type="auto"/>
            <w:vAlign w:val="center"/>
            <w:hideMark/>
          </w:tcPr>
          <w:p w14:paraId="7DD19625" w14:textId="77777777" w:rsidR="005A6FD7" w:rsidRPr="005A6FD7" w:rsidRDefault="005A6FD7" w:rsidP="005A6FD7">
            <w:pPr>
              <w:rPr>
                <w:b/>
                <w:bCs/>
              </w:rPr>
            </w:pPr>
            <w:r w:rsidRPr="005A6FD7">
              <w:rPr>
                <w:b/>
                <w:bCs/>
              </w:rPr>
              <w:t>Fund</w:t>
            </w:r>
          </w:p>
        </w:tc>
        <w:tc>
          <w:tcPr>
            <w:tcW w:w="0" w:type="auto"/>
            <w:vAlign w:val="center"/>
            <w:hideMark/>
          </w:tcPr>
          <w:p w14:paraId="6C79F5A3" w14:textId="77777777" w:rsidR="005A6FD7" w:rsidRPr="005A6FD7" w:rsidRDefault="005A6FD7" w:rsidP="005A6FD7">
            <w:pPr>
              <w:rPr>
                <w:b/>
                <w:bCs/>
              </w:rPr>
            </w:pPr>
            <w:r w:rsidRPr="005A6FD7">
              <w:rPr>
                <w:b/>
                <w:bCs/>
              </w:rPr>
              <w:t>Ticker (EU)</w:t>
            </w:r>
          </w:p>
        </w:tc>
        <w:tc>
          <w:tcPr>
            <w:tcW w:w="0" w:type="auto"/>
            <w:vAlign w:val="center"/>
            <w:hideMark/>
          </w:tcPr>
          <w:p w14:paraId="1DD15325" w14:textId="77777777" w:rsidR="005A6FD7" w:rsidRPr="005A6FD7" w:rsidRDefault="005A6FD7" w:rsidP="005A6FD7">
            <w:pPr>
              <w:rPr>
                <w:b/>
                <w:bCs/>
              </w:rPr>
            </w:pPr>
            <w:r w:rsidRPr="005A6FD7">
              <w:rPr>
                <w:b/>
                <w:bCs/>
              </w:rPr>
              <w:t>ISIN</w:t>
            </w:r>
          </w:p>
        </w:tc>
        <w:tc>
          <w:tcPr>
            <w:tcW w:w="0" w:type="auto"/>
            <w:vAlign w:val="center"/>
            <w:hideMark/>
          </w:tcPr>
          <w:p w14:paraId="026F7FB2" w14:textId="77777777" w:rsidR="005A6FD7" w:rsidRPr="005A6FD7" w:rsidRDefault="005A6FD7" w:rsidP="005A6FD7">
            <w:pPr>
              <w:rPr>
                <w:b/>
                <w:bCs/>
              </w:rPr>
            </w:pPr>
            <w:r w:rsidRPr="005A6FD7">
              <w:rPr>
                <w:b/>
                <w:bCs/>
              </w:rPr>
              <w:t>TER</w:t>
            </w:r>
          </w:p>
        </w:tc>
        <w:tc>
          <w:tcPr>
            <w:tcW w:w="0" w:type="auto"/>
            <w:vAlign w:val="center"/>
            <w:hideMark/>
          </w:tcPr>
          <w:p w14:paraId="0A828D8F" w14:textId="77777777" w:rsidR="005A6FD7" w:rsidRPr="005A6FD7" w:rsidRDefault="005A6FD7" w:rsidP="005A6FD7">
            <w:pPr>
              <w:rPr>
                <w:b/>
                <w:bCs/>
              </w:rPr>
            </w:pPr>
            <w:r w:rsidRPr="005A6FD7">
              <w:rPr>
                <w:b/>
                <w:bCs/>
              </w:rPr>
              <w:t>Replication</w:t>
            </w:r>
          </w:p>
        </w:tc>
        <w:tc>
          <w:tcPr>
            <w:tcW w:w="0" w:type="auto"/>
            <w:vAlign w:val="center"/>
            <w:hideMark/>
          </w:tcPr>
          <w:p w14:paraId="4D7D5BC7" w14:textId="77777777" w:rsidR="005A6FD7" w:rsidRPr="005A6FD7" w:rsidRDefault="005A6FD7" w:rsidP="005A6FD7">
            <w:pPr>
              <w:rPr>
                <w:b/>
                <w:bCs/>
              </w:rPr>
            </w:pPr>
            <w:r w:rsidRPr="005A6FD7">
              <w:rPr>
                <w:b/>
                <w:bCs/>
              </w:rPr>
              <w:t>Dist. type</w:t>
            </w:r>
          </w:p>
        </w:tc>
        <w:tc>
          <w:tcPr>
            <w:tcW w:w="0" w:type="auto"/>
            <w:vAlign w:val="center"/>
            <w:hideMark/>
          </w:tcPr>
          <w:p w14:paraId="5D36ADEF" w14:textId="77777777" w:rsidR="005A6FD7" w:rsidRPr="005A6FD7" w:rsidRDefault="005A6FD7" w:rsidP="005A6FD7">
            <w:pPr>
              <w:rPr>
                <w:b/>
                <w:bCs/>
              </w:rPr>
            </w:pPr>
            <w:r w:rsidRPr="005A6FD7">
              <w:rPr>
                <w:b/>
                <w:bCs/>
              </w:rPr>
              <w:t>Why selected</w:t>
            </w:r>
          </w:p>
        </w:tc>
      </w:tr>
      <w:tr w:rsidR="005A6FD7" w:rsidRPr="005A6FD7" w14:paraId="5F8F1F2A" w14:textId="77777777">
        <w:trPr>
          <w:tblCellSpacing w:w="15" w:type="dxa"/>
        </w:trPr>
        <w:tc>
          <w:tcPr>
            <w:tcW w:w="0" w:type="auto"/>
            <w:vAlign w:val="center"/>
            <w:hideMark/>
          </w:tcPr>
          <w:p w14:paraId="5820E6A0" w14:textId="77777777" w:rsidR="005A6FD7" w:rsidRPr="005A6FD7" w:rsidRDefault="005A6FD7" w:rsidP="005A6FD7">
            <w:r w:rsidRPr="005A6FD7">
              <w:t xml:space="preserve">Vanguard FTSE All-World UCITS ETF (USD) </w:t>
            </w:r>
            <w:proofErr w:type="spellStart"/>
            <w:r w:rsidRPr="005A6FD7">
              <w:t>Acc</w:t>
            </w:r>
            <w:proofErr w:type="spellEnd"/>
          </w:p>
        </w:tc>
        <w:tc>
          <w:tcPr>
            <w:tcW w:w="0" w:type="auto"/>
            <w:vAlign w:val="center"/>
            <w:hideMark/>
          </w:tcPr>
          <w:p w14:paraId="013C5DD9" w14:textId="77777777" w:rsidR="005A6FD7" w:rsidRPr="005A6FD7" w:rsidRDefault="005A6FD7" w:rsidP="005A6FD7">
            <w:r w:rsidRPr="005A6FD7">
              <w:t>VWCE</w:t>
            </w:r>
          </w:p>
        </w:tc>
        <w:tc>
          <w:tcPr>
            <w:tcW w:w="0" w:type="auto"/>
            <w:vAlign w:val="center"/>
            <w:hideMark/>
          </w:tcPr>
          <w:p w14:paraId="03E8F985" w14:textId="77777777" w:rsidR="005A6FD7" w:rsidRPr="005A6FD7" w:rsidRDefault="005A6FD7" w:rsidP="005A6FD7">
            <w:r w:rsidRPr="005A6FD7">
              <w:t>IE00BK5BQT80</w:t>
            </w:r>
          </w:p>
        </w:tc>
        <w:tc>
          <w:tcPr>
            <w:tcW w:w="0" w:type="auto"/>
            <w:vAlign w:val="center"/>
            <w:hideMark/>
          </w:tcPr>
          <w:p w14:paraId="1BB912D3" w14:textId="77777777" w:rsidR="005A6FD7" w:rsidRPr="005A6FD7" w:rsidRDefault="005A6FD7" w:rsidP="005A6FD7">
            <w:r w:rsidRPr="005A6FD7">
              <w:t>0.19%</w:t>
            </w:r>
          </w:p>
        </w:tc>
        <w:tc>
          <w:tcPr>
            <w:tcW w:w="0" w:type="auto"/>
            <w:vAlign w:val="center"/>
            <w:hideMark/>
          </w:tcPr>
          <w:p w14:paraId="2613EDC5" w14:textId="77777777" w:rsidR="005A6FD7" w:rsidRPr="005A6FD7" w:rsidRDefault="005A6FD7" w:rsidP="005A6FD7">
            <w:r w:rsidRPr="005A6FD7">
              <w:t>Sampling</w:t>
            </w:r>
          </w:p>
        </w:tc>
        <w:tc>
          <w:tcPr>
            <w:tcW w:w="0" w:type="auto"/>
            <w:vAlign w:val="center"/>
            <w:hideMark/>
          </w:tcPr>
          <w:p w14:paraId="65957332" w14:textId="77777777" w:rsidR="005A6FD7" w:rsidRPr="005A6FD7" w:rsidRDefault="005A6FD7" w:rsidP="005A6FD7">
            <w:r w:rsidRPr="005A6FD7">
              <w:t>Accumulating</w:t>
            </w:r>
          </w:p>
        </w:tc>
        <w:tc>
          <w:tcPr>
            <w:tcW w:w="0" w:type="auto"/>
            <w:vAlign w:val="center"/>
            <w:hideMark/>
          </w:tcPr>
          <w:p w14:paraId="31713871" w14:textId="77777777" w:rsidR="005A6FD7" w:rsidRPr="005A6FD7" w:rsidRDefault="005A6FD7" w:rsidP="005A6FD7">
            <w:r w:rsidRPr="005A6FD7">
              <w:t>Broadest global core (~4,000 holdings incl. EM), largest FTSE All-World tracker, Ireland-domiciled</w:t>
            </w:r>
          </w:p>
        </w:tc>
      </w:tr>
      <w:tr w:rsidR="005A6FD7" w:rsidRPr="005A6FD7" w14:paraId="25BA2E78" w14:textId="77777777">
        <w:trPr>
          <w:tblCellSpacing w:w="15" w:type="dxa"/>
        </w:trPr>
        <w:tc>
          <w:tcPr>
            <w:tcW w:w="0" w:type="auto"/>
            <w:vAlign w:val="center"/>
            <w:hideMark/>
          </w:tcPr>
          <w:p w14:paraId="10AB7F7A" w14:textId="77777777" w:rsidR="005A6FD7" w:rsidRPr="005A6FD7" w:rsidRDefault="005A6FD7" w:rsidP="005A6FD7">
            <w:r w:rsidRPr="005A6FD7">
              <w:t xml:space="preserve">iShares Core MSCI World UCITS ETF (USD) </w:t>
            </w:r>
            <w:proofErr w:type="spellStart"/>
            <w:r w:rsidRPr="005A6FD7">
              <w:t>Acc</w:t>
            </w:r>
            <w:proofErr w:type="spellEnd"/>
            <w:r w:rsidRPr="005A6FD7">
              <w:t xml:space="preserve"> </w:t>
            </w:r>
            <w:r w:rsidRPr="005A6FD7">
              <w:rPr>
                <w:i/>
                <w:iCs/>
              </w:rPr>
              <w:t>(alternative core)</w:t>
            </w:r>
          </w:p>
        </w:tc>
        <w:tc>
          <w:tcPr>
            <w:tcW w:w="0" w:type="auto"/>
            <w:vAlign w:val="center"/>
            <w:hideMark/>
          </w:tcPr>
          <w:p w14:paraId="1E463068" w14:textId="77777777" w:rsidR="005A6FD7" w:rsidRPr="005A6FD7" w:rsidRDefault="005A6FD7" w:rsidP="005A6FD7">
            <w:r w:rsidRPr="005A6FD7">
              <w:t>IWDA / SWDA</w:t>
            </w:r>
          </w:p>
        </w:tc>
        <w:tc>
          <w:tcPr>
            <w:tcW w:w="0" w:type="auto"/>
            <w:vAlign w:val="center"/>
            <w:hideMark/>
          </w:tcPr>
          <w:p w14:paraId="05BBCB65" w14:textId="77777777" w:rsidR="005A6FD7" w:rsidRPr="005A6FD7" w:rsidRDefault="005A6FD7" w:rsidP="005A6FD7">
            <w:r w:rsidRPr="005A6FD7">
              <w:t>IE00B4L5Y983</w:t>
            </w:r>
          </w:p>
        </w:tc>
        <w:tc>
          <w:tcPr>
            <w:tcW w:w="0" w:type="auto"/>
            <w:vAlign w:val="center"/>
            <w:hideMark/>
          </w:tcPr>
          <w:p w14:paraId="10768B5B" w14:textId="77777777" w:rsidR="005A6FD7" w:rsidRPr="005A6FD7" w:rsidRDefault="005A6FD7" w:rsidP="005A6FD7">
            <w:r w:rsidRPr="005A6FD7">
              <w:t>0.20%</w:t>
            </w:r>
          </w:p>
        </w:tc>
        <w:tc>
          <w:tcPr>
            <w:tcW w:w="0" w:type="auto"/>
            <w:vAlign w:val="center"/>
            <w:hideMark/>
          </w:tcPr>
          <w:p w14:paraId="2ECCD53C" w14:textId="77777777" w:rsidR="005A6FD7" w:rsidRPr="005A6FD7" w:rsidRDefault="005A6FD7" w:rsidP="005A6FD7">
            <w:r w:rsidRPr="005A6FD7">
              <w:t>Sampling (optimised)</w:t>
            </w:r>
          </w:p>
        </w:tc>
        <w:tc>
          <w:tcPr>
            <w:tcW w:w="0" w:type="auto"/>
            <w:vAlign w:val="center"/>
            <w:hideMark/>
          </w:tcPr>
          <w:p w14:paraId="031D3AF6" w14:textId="77777777" w:rsidR="005A6FD7" w:rsidRPr="005A6FD7" w:rsidRDefault="005A6FD7" w:rsidP="005A6FD7">
            <w:r w:rsidRPr="005A6FD7">
              <w:t>Accumulating</w:t>
            </w:r>
          </w:p>
        </w:tc>
        <w:tc>
          <w:tcPr>
            <w:tcW w:w="0" w:type="auto"/>
            <w:vAlign w:val="center"/>
            <w:hideMark/>
          </w:tcPr>
          <w:p w14:paraId="136BB2E1" w14:textId="77777777" w:rsidR="005A6FD7" w:rsidRPr="005A6FD7" w:rsidRDefault="005A6FD7" w:rsidP="005A6FD7">
            <w:r w:rsidRPr="005A6FD7">
              <w:t>Alternative to VWCE if you prefer developed-markets-only exposure; largest, longest track record MSCI World tracker</w:t>
            </w:r>
          </w:p>
        </w:tc>
      </w:tr>
      <w:tr w:rsidR="005A6FD7" w:rsidRPr="005A6FD7" w14:paraId="18357F8E" w14:textId="77777777">
        <w:trPr>
          <w:tblCellSpacing w:w="15" w:type="dxa"/>
        </w:trPr>
        <w:tc>
          <w:tcPr>
            <w:tcW w:w="0" w:type="auto"/>
            <w:vAlign w:val="center"/>
            <w:hideMark/>
          </w:tcPr>
          <w:p w14:paraId="72957C12" w14:textId="77777777" w:rsidR="005A6FD7" w:rsidRPr="005A6FD7" w:rsidRDefault="005A6FD7" w:rsidP="005A6FD7">
            <w:r w:rsidRPr="005A6FD7">
              <w:t xml:space="preserve">iShares Core S&amp;P 500 UCITS ETF (USD) </w:t>
            </w:r>
            <w:proofErr w:type="spellStart"/>
            <w:r w:rsidRPr="005A6FD7">
              <w:t>Acc</w:t>
            </w:r>
            <w:proofErr w:type="spellEnd"/>
            <w:r w:rsidRPr="005A6FD7">
              <w:t xml:space="preserve"> </w:t>
            </w:r>
            <w:r w:rsidRPr="005A6FD7">
              <w:rPr>
                <w:i/>
                <w:iCs/>
              </w:rPr>
              <w:t>(if used instead of a Nasdaq tilt)</w:t>
            </w:r>
          </w:p>
        </w:tc>
        <w:tc>
          <w:tcPr>
            <w:tcW w:w="0" w:type="auto"/>
            <w:vAlign w:val="center"/>
            <w:hideMark/>
          </w:tcPr>
          <w:p w14:paraId="6BC5AD81" w14:textId="77777777" w:rsidR="005A6FD7" w:rsidRPr="005A6FD7" w:rsidRDefault="005A6FD7" w:rsidP="005A6FD7">
            <w:r w:rsidRPr="005A6FD7">
              <w:t>CSPX</w:t>
            </w:r>
          </w:p>
        </w:tc>
        <w:tc>
          <w:tcPr>
            <w:tcW w:w="0" w:type="auto"/>
            <w:vAlign w:val="center"/>
            <w:hideMark/>
          </w:tcPr>
          <w:p w14:paraId="199E2E85" w14:textId="77777777" w:rsidR="005A6FD7" w:rsidRPr="005A6FD7" w:rsidRDefault="005A6FD7" w:rsidP="005A6FD7">
            <w:r w:rsidRPr="005A6FD7">
              <w:t>IE00B5BMR087</w:t>
            </w:r>
          </w:p>
        </w:tc>
        <w:tc>
          <w:tcPr>
            <w:tcW w:w="0" w:type="auto"/>
            <w:vAlign w:val="center"/>
            <w:hideMark/>
          </w:tcPr>
          <w:p w14:paraId="646B5325" w14:textId="77777777" w:rsidR="005A6FD7" w:rsidRPr="005A6FD7" w:rsidRDefault="005A6FD7" w:rsidP="005A6FD7">
            <w:r w:rsidRPr="005A6FD7">
              <w:t>0.07%</w:t>
            </w:r>
          </w:p>
        </w:tc>
        <w:tc>
          <w:tcPr>
            <w:tcW w:w="0" w:type="auto"/>
            <w:vAlign w:val="center"/>
            <w:hideMark/>
          </w:tcPr>
          <w:p w14:paraId="0461A071" w14:textId="77777777" w:rsidR="005A6FD7" w:rsidRPr="005A6FD7" w:rsidRDefault="005A6FD7" w:rsidP="005A6FD7">
            <w:r w:rsidRPr="005A6FD7">
              <w:t>Full replication</w:t>
            </w:r>
          </w:p>
        </w:tc>
        <w:tc>
          <w:tcPr>
            <w:tcW w:w="0" w:type="auto"/>
            <w:vAlign w:val="center"/>
            <w:hideMark/>
          </w:tcPr>
          <w:p w14:paraId="3054B50A" w14:textId="77777777" w:rsidR="005A6FD7" w:rsidRPr="005A6FD7" w:rsidRDefault="005A6FD7" w:rsidP="005A6FD7">
            <w:r w:rsidRPr="005A6FD7">
              <w:t>Accumulating</w:t>
            </w:r>
          </w:p>
        </w:tc>
        <w:tc>
          <w:tcPr>
            <w:tcW w:w="0" w:type="auto"/>
            <w:vAlign w:val="center"/>
            <w:hideMark/>
          </w:tcPr>
          <w:p w14:paraId="3CB21DFE" w14:textId="77777777" w:rsidR="005A6FD7" w:rsidRPr="005A6FD7" w:rsidRDefault="005A6FD7" w:rsidP="005A6FD7">
            <w:r w:rsidRPr="005A6FD7">
              <w:t>Cheapest way to add pure US large-cap tilt; lower cost than EQQQ but less tech-concentrated</w:t>
            </w:r>
          </w:p>
        </w:tc>
      </w:tr>
      <w:tr w:rsidR="005A6FD7" w:rsidRPr="005A6FD7" w14:paraId="1866F44F" w14:textId="77777777">
        <w:trPr>
          <w:tblCellSpacing w:w="15" w:type="dxa"/>
        </w:trPr>
        <w:tc>
          <w:tcPr>
            <w:tcW w:w="0" w:type="auto"/>
            <w:vAlign w:val="center"/>
            <w:hideMark/>
          </w:tcPr>
          <w:p w14:paraId="576B1BBD" w14:textId="77777777" w:rsidR="005A6FD7" w:rsidRPr="005A6FD7" w:rsidRDefault="005A6FD7" w:rsidP="005A6FD7">
            <w:r w:rsidRPr="005A6FD7">
              <w:t>Invesco EQQQ Nasdaq-100 UCITS ETF</w:t>
            </w:r>
          </w:p>
        </w:tc>
        <w:tc>
          <w:tcPr>
            <w:tcW w:w="0" w:type="auto"/>
            <w:vAlign w:val="center"/>
            <w:hideMark/>
          </w:tcPr>
          <w:p w14:paraId="4314017E" w14:textId="77777777" w:rsidR="005A6FD7" w:rsidRPr="005A6FD7" w:rsidRDefault="005A6FD7" w:rsidP="005A6FD7">
            <w:r w:rsidRPr="005A6FD7">
              <w:t>EQQQ</w:t>
            </w:r>
          </w:p>
        </w:tc>
        <w:tc>
          <w:tcPr>
            <w:tcW w:w="0" w:type="auto"/>
            <w:vAlign w:val="center"/>
            <w:hideMark/>
          </w:tcPr>
          <w:p w14:paraId="718A24D3" w14:textId="77777777" w:rsidR="005A6FD7" w:rsidRPr="005A6FD7" w:rsidRDefault="005A6FD7" w:rsidP="005A6FD7">
            <w:r w:rsidRPr="005A6FD7">
              <w:t>IE0032077012</w:t>
            </w:r>
          </w:p>
        </w:tc>
        <w:tc>
          <w:tcPr>
            <w:tcW w:w="0" w:type="auto"/>
            <w:vAlign w:val="center"/>
            <w:hideMark/>
          </w:tcPr>
          <w:p w14:paraId="5BB39BA0" w14:textId="77777777" w:rsidR="005A6FD7" w:rsidRPr="005A6FD7" w:rsidRDefault="005A6FD7" w:rsidP="005A6FD7">
            <w:r w:rsidRPr="005A6FD7">
              <w:t>0.30%</w:t>
            </w:r>
          </w:p>
        </w:tc>
        <w:tc>
          <w:tcPr>
            <w:tcW w:w="0" w:type="auto"/>
            <w:vAlign w:val="center"/>
            <w:hideMark/>
          </w:tcPr>
          <w:p w14:paraId="14663566" w14:textId="77777777" w:rsidR="005A6FD7" w:rsidRPr="005A6FD7" w:rsidRDefault="005A6FD7" w:rsidP="005A6FD7">
            <w:r w:rsidRPr="005A6FD7">
              <w:t>Full replication</w:t>
            </w:r>
          </w:p>
        </w:tc>
        <w:tc>
          <w:tcPr>
            <w:tcW w:w="0" w:type="auto"/>
            <w:vAlign w:val="center"/>
            <w:hideMark/>
          </w:tcPr>
          <w:p w14:paraId="301B4F97" w14:textId="77777777" w:rsidR="005A6FD7" w:rsidRPr="005A6FD7" w:rsidRDefault="005A6FD7" w:rsidP="005A6FD7">
            <w:r w:rsidRPr="005A6FD7">
              <w:rPr>
                <w:b/>
                <w:bCs/>
              </w:rPr>
              <w:t>Distributing</w:t>
            </w:r>
            <w:r w:rsidRPr="005A6FD7">
              <w:t xml:space="preserve"> (quarterly)</w:t>
            </w:r>
          </w:p>
        </w:tc>
        <w:tc>
          <w:tcPr>
            <w:tcW w:w="0" w:type="auto"/>
            <w:vAlign w:val="center"/>
            <w:hideMark/>
          </w:tcPr>
          <w:p w14:paraId="22C91CEA" w14:textId="77777777" w:rsidR="005A6FD7" w:rsidRPr="005A6FD7" w:rsidRDefault="005A6FD7" w:rsidP="005A6FD7">
            <w:r w:rsidRPr="005A6FD7">
              <w:t>Direct, liquid, long-track-record Nasdaq-100 exposure — note it distributes dividends quarterly rather than accumulating; reinvest manually or check for an accumulating share class from another issuer if you want full auto-compounding</w:t>
            </w:r>
          </w:p>
        </w:tc>
      </w:tr>
      <w:tr w:rsidR="005A6FD7" w:rsidRPr="005A6FD7" w14:paraId="1B4E6A2D" w14:textId="77777777">
        <w:trPr>
          <w:tblCellSpacing w:w="15" w:type="dxa"/>
        </w:trPr>
        <w:tc>
          <w:tcPr>
            <w:tcW w:w="0" w:type="auto"/>
            <w:vAlign w:val="center"/>
            <w:hideMark/>
          </w:tcPr>
          <w:p w14:paraId="40B73020" w14:textId="77777777" w:rsidR="005A6FD7" w:rsidRPr="005A6FD7" w:rsidRDefault="005A6FD7" w:rsidP="005A6FD7">
            <w:r w:rsidRPr="005A6FD7">
              <w:lastRenderedPageBreak/>
              <w:t>VanEck Semiconductor UCITS ETF</w:t>
            </w:r>
          </w:p>
        </w:tc>
        <w:tc>
          <w:tcPr>
            <w:tcW w:w="0" w:type="auto"/>
            <w:vAlign w:val="center"/>
            <w:hideMark/>
          </w:tcPr>
          <w:p w14:paraId="4EBE02A8" w14:textId="77777777" w:rsidR="005A6FD7" w:rsidRPr="005A6FD7" w:rsidRDefault="005A6FD7" w:rsidP="005A6FD7">
            <w:r w:rsidRPr="005A6FD7">
              <w:t>SMH (EU)</w:t>
            </w:r>
          </w:p>
        </w:tc>
        <w:tc>
          <w:tcPr>
            <w:tcW w:w="0" w:type="auto"/>
            <w:vAlign w:val="center"/>
            <w:hideMark/>
          </w:tcPr>
          <w:p w14:paraId="6A78C85C" w14:textId="77777777" w:rsidR="005A6FD7" w:rsidRPr="005A6FD7" w:rsidRDefault="005A6FD7" w:rsidP="005A6FD7">
            <w:r w:rsidRPr="005A6FD7">
              <w:t>IE00BMC38736</w:t>
            </w:r>
          </w:p>
        </w:tc>
        <w:tc>
          <w:tcPr>
            <w:tcW w:w="0" w:type="auto"/>
            <w:vAlign w:val="center"/>
            <w:hideMark/>
          </w:tcPr>
          <w:p w14:paraId="36AB6FC0" w14:textId="77777777" w:rsidR="005A6FD7" w:rsidRPr="005A6FD7" w:rsidRDefault="005A6FD7" w:rsidP="005A6FD7">
            <w:r w:rsidRPr="005A6FD7">
              <w:t>0.35%</w:t>
            </w:r>
          </w:p>
        </w:tc>
        <w:tc>
          <w:tcPr>
            <w:tcW w:w="0" w:type="auto"/>
            <w:vAlign w:val="center"/>
            <w:hideMark/>
          </w:tcPr>
          <w:p w14:paraId="69EAFC07" w14:textId="77777777" w:rsidR="005A6FD7" w:rsidRPr="005A6FD7" w:rsidRDefault="005A6FD7" w:rsidP="005A6FD7">
            <w:r w:rsidRPr="005A6FD7">
              <w:t>Full replication</w:t>
            </w:r>
          </w:p>
        </w:tc>
        <w:tc>
          <w:tcPr>
            <w:tcW w:w="0" w:type="auto"/>
            <w:vAlign w:val="center"/>
            <w:hideMark/>
          </w:tcPr>
          <w:p w14:paraId="76D38C3B" w14:textId="77777777" w:rsidR="005A6FD7" w:rsidRPr="005A6FD7" w:rsidRDefault="005A6FD7" w:rsidP="005A6FD7">
            <w:r w:rsidRPr="005A6FD7">
              <w:t>Accumulating</w:t>
            </w:r>
          </w:p>
        </w:tc>
        <w:tc>
          <w:tcPr>
            <w:tcW w:w="0" w:type="auto"/>
            <w:vAlign w:val="center"/>
            <w:hideMark/>
          </w:tcPr>
          <w:p w14:paraId="2CB79EA8" w14:textId="77777777" w:rsidR="005A6FD7" w:rsidRPr="005A6FD7" w:rsidRDefault="005A6FD7" w:rsidP="005A6FD7">
            <w:r w:rsidRPr="005A6FD7">
              <w:t>Highest-conviction, purest semiconductor/AI-infrastructure play; capped at 10% per holding to limit single-stock risk</w:t>
            </w:r>
          </w:p>
        </w:tc>
      </w:tr>
      <w:tr w:rsidR="005A6FD7" w:rsidRPr="005A6FD7" w14:paraId="103CE7BC" w14:textId="77777777">
        <w:trPr>
          <w:tblCellSpacing w:w="15" w:type="dxa"/>
        </w:trPr>
        <w:tc>
          <w:tcPr>
            <w:tcW w:w="0" w:type="auto"/>
            <w:vAlign w:val="center"/>
            <w:hideMark/>
          </w:tcPr>
          <w:p w14:paraId="2A4BFD57" w14:textId="77777777" w:rsidR="005A6FD7" w:rsidRPr="005A6FD7" w:rsidRDefault="005A6FD7" w:rsidP="005A6FD7">
            <w:r w:rsidRPr="005A6FD7">
              <w:t>iShares Automation &amp; Robotics UCITS ETF</w:t>
            </w:r>
          </w:p>
        </w:tc>
        <w:tc>
          <w:tcPr>
            <w:tcW w:w="0" w:type="auto"/>
            <w:vAlign w:val="center"/>
            <w:hideMark/>
          </w:tcPr>
          <w:p w14:paraId="4042C6E6" w14:textId="77777777" w:rsidR="005A6FD7" w:rsidRPr="005A6FD7" w:rsidRDefault="005A6FD7" w:rsidP="005A6FD7">
            <w:r w:rsidRPr="005A6FD7">
              <w:t>RBOT / 2B76</w:t>
            </w:r>
          </w:p>
        </w:tc>
        <w:tc>
          <w:tcPr>
            <w:tcW w:w="0" w:type="auto"/>
            <w:vAlign w:val="center"/>
            <w:hideMark/>
          </w:tcPr>
          <w:p w14:paraId="5CD54CA8" w14:textId="77777777" w:rsidR="005A6FD7" w:rsidRPr="005A6FD7" w:rsidRDefault="005A6FD7" w:rsidP="005A6FD7">
            <w:r w:rsidRPr="005A6FD7">
              <w:t>IE00BYZK4552</w:t>
            </w:r>
          </w:p>
        </w:tc>
        <w:tc>
          <w:tcPr>
            <w:tcW w:w="0" w:type="auto"/>
            <w:vAlign w:val="center"/>
            <w:hideMark/>
          </w:tcPr>
          <w:p w14:paraId="7DEAA078" w14:textId="77777777" w:rsidR="005A6FD7" w:rsidRPr="005A6FD7" w:rsidRDefault="005A6FD7" w:rsidP="005A6FD7">
            <w:r w:rsidRPr="005A6FD7">
              <w:t>0.40%</w:t>
            </w:r>
          </w:p>
        </w:tc>
        <w:tc>
          <w:tcPr>
            <w:tcW w:w="0" w:type="auto"/>
            <w:vAlign w:val="center"/>
            <w:hideMark/>
          </w:tcPr>
          <w:p w14:paraId="2D1B1AD3" w14:textId="77777777" w:rsidR="005A6FD7" w:rsidRPr="005A6FD7" w:rsidRDefault="005A6FD7" w:rsidP="005A6FD7">
            <w:r w:rsidRPr="005A6FD7">
              <w:t>Sampling</w:t>
            </w:r>
          </w:p>
        </w:tc>
        <w:tc>
          <w:tcPr>
            <w:tcW w:w="0" w:type="auto"/>
            <w:vAlign w:val="center"/>
            <w:hideMark/>
          </w:tcPr>
          <w:p w14:paraId="03E0D49E" w14:textId="77777777" w:rsidR="005A6FD7" w:rsidRPr="005A6FD7" w:rsidRDefault="005A6FD7" w:rsidP="005A6FD7">
            <w:r w:rsidRPr="005A6FD7">
              <w:t>Accumulating</w:t>
            </w:r>
          </w:p>
        </w:tc>
        <w:tc>
          <w:tcPr>
            <w:tcW w:w="0" w:type="auto"/>
            <w:vAlign w:val="center"/>
            <w:hideMark/>
          </w:tcPr>
          <w:p w14:paraId="63495B35" w14:textId="77777777" w:rsidR="005A6FD7" w:rsidRPr="005A6FD7" w:rsidRDefault="005A6FD7" w:rsidP="005A6FD7">
            <w:r w:rsidRPr="005A6FD7">
              <w:t>Broadest, most diversified robotics/automation index (100+ holdings), ESG-screened, lower overlap with Nasdaq-100 than pure semis</w:t>
            </w:r>
          </w:p>
        </w:tc>
      </w:tr>
      <w:tr w:rsidR="005A6FD7" w:rsidRPr="005A6FD7" w14:paraId="0C03DCEE" w14:textId="77777777">
        <w:trPr>
          <w:tblCellSpacing w:w="15" w:type="dxa"/>
        </w:trPr>
        <w:tc>
          <w:tcPr>
            <w:tcW w:w="0" w:type="auto"/>
            <w:vAlign w:val="center"/>
            <w:hideMark/>
          </w:tcPr>
          <w:p w14:paraId="0B92C4DB" w14:textId="77777777" w:rsidR="005A6FD7" w:rsidRPr="005A6FD7" w:rsidRDefault="005A6FD7" w:rsidP="005A6FD7">
            <w:r w:rsidRPr="005A6FD7">
              <w:t>iShares Digital Security UCITS ETF</w:t>
            </w:r>
          </w:p>
        </w:tc>
        <w:tc>
          <w:tcPr>
            <w:tcW w:w="0" w:type="auto"/>
            <w:vAlign w:val="center"/>
            <w:hideMark/>
          </w:tcPr>
          <w:p w14:paraId="1896C9D2" w14:textId="77777777" w:rsidR="005A6FD7" w:rsidRPr="005A6FD7" w:rsidRDefault="005A6FD7" w:rsidP="005A6FD7">
            <w:r w:rsidRPr="005A6FD7">
              <w:t>SHLD</w:t>
            </w:r>
          </w:p>
        </w:tc>
        <w:tc>
          <w:tcPr>
            <w:tcW w:w="0" w:type="auto"/>
            <w:vAlign w:val="center"/>
            <w:hideMark/>
          </w:tcPr>
          <w:p w14:paraId="6BC942F8" w14:textId="77777777" w:rsidR="005A6FD7" w:rsidRPr="005A6FD7" w:rsidRDefault="005A6FD7" w:rsidP="005A6FD7">
            <w:r w:rsidRPr="005A6FD7">
              <w:t>IE00BG0J4C88</w:t>
            </w:r>
          </w:p>
        </w:tc>
        <w:tc>
          <w:tcPr>
            <w:tcW w:w="0" w:type="auto"/>
            <w:vAlign w:val="center"/>
            <w:hideMark/>
          </w:tcPr>
          <w:p w14:paraId="231B2173" w14:textId="77777777" w:rsidR="005A6FD7" w:rsidRPr="005A6FD7" w:rsidRDefault="005A6FD7" w:rsidP="005A6FD7">
            <w:r w:rsidRPr="005A6FD7">
              <w:t>0.40%</w:t>
            </w:r>
          </w:p>
        </w:tc>
        <w:tc>
          <w:tcPr>
            <w:tcW w:w="0" w:type="auto"/>
            <w:vAlign w:val="center"/>
            <w:hideMark/>
          </w:tcPr>
          <w:p w14:paraId="62DF0E45" w14:textId="77777777" w:rsidR="005A6FD7" w:rsidRPr="005A6FD7" w:rsidRDefault="005A6FD7" w:rsidP="005A6FD7">
            <w:r w:rsidRPr="005A6FD7">
              <w:t>Sampling</w:t>
            </w:r>
          </w:p>
        </w:tc>
        <w:tc>
          <w:tcPr>
            <w:tcW w:w="0" w:type="auto"/>
            <w:vAlign w:val="center"/>
            <w:hideMark/>
          </w:tcPr>
          <w:p w14:paraId="22335093" w14:textId="77777777" w:rsidR="005A6FD7" w:rsidRPr="005A6FD7" w:rsidRDefault="005A6FD7" w:rsidP="005A6FD7">
            <w:r w:rsidRPr="005A6FD7">
              <w:t>Accumulating</w:t>
            </w:r>
          </w:p>
        </w:tc>
        <w:tc>
          <w:tcPr>
            <w:tcW w:w="0" w:type="auto"/>
            <w:vAlign w:val="center"/>
            <w:hideMark/>
          </w:tcPr>
          <w:p w14:paraId="25A6D346" w14:textId="77777777" w:rsidR="005A6FD7" w:rsidRPr="005A6FD7" w:rsidRDefault="005A6FD7" w:rsidP="005A6FD7">
            <w:r w:rsidRPr="005A6FD7">
              <w:t>Cybersecurity/data-security thesis, historically lower correlation to broad AI hype cycles, non-discretionary spend angle</w:t>
            </w:r>
          </w:p>
        </w:tc>
      </w:tr>
      <w:tr w:rsidR="005A6FD7" w:rsidRPr="005A6FD7" w14:paraId="429971C9" w14:textId="77777777">
        <w:trPr>
          <w:tblCellSpacing w:w="15" w:type="dxa"/>
        </w:trPr>
        <w:tc>
          <w:tcPr>
            <w:tcW w:w="0" w:type="auto"/>
            <w:vAlign w:val="center"/>
            <w:hideMark/>
          </w:tcPr>
          <w:p w14:paraId="0B3F484B" w14:textId="77777777" w:rsidR="005A6FD7" w:rsidRPr="005A6FD7" w:rsidRDefault="005A6FD7" w:rsidP="005A6FD7">
            <w:r w:rsidRPr="005A6FD7">
              <w:t xml:space="preserve">L&amp;G Artificial Intelligence UCITS ETF </w:t>
            </w:r>
            <w:r w:rsidRPr="005A6FD7">
              <w:rPr>
                <w:i/>
                <w:iCs/>
              </w:rPr>
              <w:t>(optional swap-in for one satellite)</w:t>
            </w:r>
          </w:p>
        </w:tc>
        <w:tc>
          <w:tcPr>
            <w:tcW w:w="0" w:type="auto"/>
            <w:vAlign w:val="center"/>
            <w:hideMark/>
          </w:tcPr>
          <w:p w14:paraId="15C510B5" w14:textId="77777777" w:rsidR="005A6FD7" w:rsidRPr="005A6FD7" w:rsidRDefault="005A6FD7" w:rsidP="005A6FD7">
            <w:r w:rsidRPr="005A6FD7">
              <w:t>AIAG / AIAI</w:t>
            </w:r>
          </w:p>
        </w:tc>
        <w:tc>
          <w:tcPr>
            <w:tcW w:w="0" w:type="auto"/>
            <w:vAlign w:val="center"/>
            <w:hideMark/>
          </w:tcPr>
          <w:p w14:paraId="441EB0B8" w14:textId="77777777" w:rsidR="005A6FD7" w:rsidRPr="005A6FD7" w:rsidRDefault="005A6FD7" w:rsidP="005A6FD7">
            <w:r w:rsidRPr="005A6FD7">
              <w:t>IE00BK5BCD43</w:t>
            </w:r>
          </w:p>
        </w:tc>
        <w:tc>
          <w:tcPr>
            <w:tcW w:w="0" w:type="auto"/>
            <w:vAlign w:val="center"/>
            <w:hideMark/>
          </w:tcPr>
          <w:p w14:paraId="686E48D3" w14:textId="77777777" w:rsidR="005A6FD7" w:rsidRPr="005A6FD7" w:rsidRDefault="005A6FD7" w:rsidP="005A6FD7">
            <w:r w:rsidRPr="005A6FD7">
              <w:t>0.49%</w:t>
            </w:r>
          </w:p>
        </w:tc>
        <w:tc>
          <w:tcPr>
            <w:tcW w:w="0" w:type="auto"/>
            <w:vAlign w:val="center"/>
            <w:hideMark/>
          </w:tcPr>
          <w:p w14:paraId="69ECB984" w14:textId="77777777" w:rsidR="005A6FD7" w:rsidRPr="005A6FD7" w:rsidRDefault="005A6FD7" w:rsidP="005A6FD7">
            <w:r w:rsidRPr="005A6FD7">
              <w:t>Full replication</w:t>
            </w:r>
          </w:p>
        </w:tc>
        <w:tc>
          <w:tcPr>
            <w:tcW w:w="0" w:type="auto"/>
            <w:vAlign w:val="center"/>
            <w:hideMark/>
          </w:tcPr>
          <w:p w14:paraId="3995E840" w14:textId="77777777" w:rsidR="005A6FD7" w:rsidRPr="005A6FD7" w:rsidRDefault="005A6FD7" w:rsidP="005A6FD7">
            <w:r w:rsidRPr="005A6FD7">
              <w:t>Accumulating</w:t>
            </w:r>
          </w:p>
        </w:tc>
        <w:tc>
          <w:tcPr>
            <w:tcW w:w="0" w:type="auto"/>
            <w:vAlign w:val="center"/>
            <w:hideMark/>
          </w:tcPr>
          <w:p w14:paraId="46FBBD49" w14:textId="77777777" w:rsidR="005A6FD7" w:rsidRPr="005A6FD7" w:rsidRDefault="005A6FD7" w:rsidP="005A6FD7">
            <w:r w:rsidRPr="005A6FD7">
              <w:t>Most directly "AI-branded" fund if you want explicit AI-</w:t>
            </w:r>
            <w:proofErr w:type="spellStart"/>
            <w:r w:rsidRPr="005A6FD7">
              <w:t>labeled</w:t>
            </w:r>
            <w:proofErr w:type="spellEnd"/>
            <w:r w:rsidRPr="005A6FD7">
              <w:t xml:space="preserve"> exposure rather than semis/robotics/security proxies — higher cost, broader/vaguer index construction</w:t>
            </w:r>
          </w:p>
        </w:tc>
      </w:tr>
    </w:tbl>
    <w:p w14:paraId="13AF04D0" w14:textId="77777777" w:rsidR="005A6FD7" w:rsidRPr="005A6FD7" w:rsidRDefault="005A6FD7" w:rsidP="005A6FD7">
      <w:r w:rsidRPr="005A6FD7">
        <w:rPr>
          <w:b/>
          <w:bCs/>
        </w:rPr>
        <w:t>Practical note on EQQQ's distributing status:</w:t>
      </w:r>
      <w:r w:rsidRPr="005A6FD7">
        <w:t xml:space="preserve"> it's the most liquid, longest-standing Nasdaq-100 UCITS ETF, but it pays dividends rather than accumulating. If automatic full compounding without manual reinvestment matters to you, check your broker for an accumulating Nasdaq-100 UCITS share class (several exist from other issuers) as a substitute — the underlying index exposure is identical, only the dividend handling differs.</w:t>
      </w:r>
    </w:p>
    <w:p w14:paraId="3C585C68" w14:textId="77777777" w:rsidR="005A6FD7" w:rsidRPr="005A6FD7" w:rsidRDefault="005A6FD7" w:rsidP="005A6FD7">
      <w:r w:rsidRPr="005A6FD7">
        <w:pict w14:anchorId="7FC3C0D5">
          <v:rect id="_x0000_i1094" style="width:0;height:1.5pt" o:hralign="center" o:hrstd="t" o:hr="t" fillcolor="#a0a0a0" stroked="f"/>
        </w:pict>
      </w:r>
    </w:p>
    <w:p w14:paraId="24DDC824" w14:textId="77777777" w:rsidR="005A6FD7" w:rsidRPr="005A6FD7" w:rsidRDefault="005A6FD7" w:rsidP="005A6FD7">
      <w:pPr>
        <w:rPr>
          <w:b/>
          <w:bCs/>
        </w:rPr>
      </w:pPr>
      <w:r w:rsidRPr="005A6FD7">
        <w:rPr>
          <w:b/>
          <w:bCs/>
        </w:rPr>
        <w:t>9. Final Deliverable Summary</w:t>
      </w:r>
    </w:p>
    <w:p w14:paraId="6B53D60E" w14:textId="77777777" w:rsidR="005A6FD7" w:rsidRPr="005A6FD7" w:rsidRDefault="005A6FD7" w:rsidP="005A6FD7">
      <w:pPr>
        <w:rPr>
          <w:b/>
          <w:bCs/>
        </w:rPr>
      </w:pPr>
      <w:r w:rsidRPr="005A6FD7">
        <w:rPr>
          <w:b/>
          <w:bCs/>
        </w:rPr>
        <w:t>Recommended ETF Portfolio</w:t>
      </w:r>
    </w:p>
    <w:p w14:paraId="0A47D425" w14:textId="77777777" w:rsidR="005A6FD7" w:rsidRPr="005A6FD7" w:rsidRDefault="005A6FD7" w:rsidP="005A6FD7">
      <w:pPr>
        <w:numPr>
          <w:ilvl w:val="0"/>
          <w:numId w:val="11"/>
        </w:numPr>
      </w:pPr>
      <w:r w:rsidRPr="005A6FD7">
        <w:t>60% — Vanguard FTSE All-World (VWCE), IE00BK5BQT80</w:t>
      </w:r>
    </w:p>
    <w:p w14:paraId="00A24911" w14:textId="77777777" w:rsidR="005A6FD7" w:rsidRPr="005A6FD7" w:rsidRDefault="005A6FD7" w:rsidP="005A6FD7">
      <w:pPr>
        <w:numPr>
          <w:ilvl w:val="0"/>
          <w:numId w:val="11"/>
        </w:numPr>
      </w:pPr>
      <w:r w:rsidRPr="005A6FD7">
        <w:lastRenderedPageBreak/>
        <w:t>25% — Invesco EQQQ Nasdaq-100 (EQQQ), IE0032077012</w:t>
      </w:r>
    </w:p>
    <w:p w14:paraId="6CD9B870" w14:textId="77777777" w:rsidR="005A6FD7" w:rsidRPr="005A6FD7" w:rsidRDefault="005A6FD7" w:rsidP="005A6FD7">
      <w:pPr>
        <w:numPr>
          <w:ilvl w:val="0"/>
          <w:numId w:val="11"/>
        </w:numPr>
      </w:pPr>
      <w:r w:rsidRPr="005A6FD7">
        <w:t>7% — VanEck Semiconductor (SMH), IE00BMC38736</w:t>
      </w:r>
    </w:p>
    <w:p w14:paraId="7785816B" w14:textId="77777777" w:rsidR="005A6FD7" w:rsidRPr="005A6FD7" w:rsidRDefault="005A6FD7" w:rsidP="005A6FD7">
      <w:pPr>
        <w:numPr>
          <w:ilvl w:val="0"/>
          <w:numId w:val="11"/>
        </w:numPr>
      </w:pPr>
      <w:r w:rsidRPr="005A6FD7">
        <w:t>4% — iShares Automation &amp; Robotics (RBOT), IE00BYZK4552</w:t>
      </w:r>
    </w:p>
    <w:p w14:paraId="57C2DE6E" w14:textId="77777777" w:rsidR="005A6FD7" w:rsidRPr="005A6FD7" w:rsidRDefault="005A6FD7" w:rsidP="005A6FD7">
      <w:pPr>
        <w:numPr>
          <w:ilvl w:val="0"/>
          <w:numId w:val="11"/>
        </w:numPr>
      </w:pPr>
      <w:r w:rsidRPr="005A6FD7">
        <w:t>4% — iShares Digital Security (SHLD), IE00BG0J4C88</w:t>
      </w:r>
    </w:p>
    <w:p w14:paraId="69DC05D7" w14:textId="77777777" w:rsidR="005A6FD7" w:rsidRPr="005A6FD7" w:rsidRDefault="005A6FD7" w:rsidP="005A6FD7">
      <w:pPr>
        <w:rPr>
          <w:b/>
          <w:bCs/>
        </w:rPr>
      </w:pPr>
      <w:r w:rsidRPr="005A6FD7">
        <w:rPr>
          <w:b/>
          <w:bCs/>
        </w:rPr>
        <w:t>Allocation Chart</w:t>
      </w:r>
    </w:p>
    <w:p w14:paraId="38D8E7D1" w14:textId="77777777" w:rsidR="005A6FD7" w:rsidRPr="005A6FD7" w:rsidRDefault="005A6FD7" w:rsidP="005A6FD7">
      <w:r w:rsidRPr="005A6FD7">
        <w:t>See the visual breakdown below.</w:t>
      </w:r>
    </w:p>
    <w:p w14:paraId="7442072D" w14:textId="77777777" w:rsidR="005A6FD7" w:rsidRPr="005A6FD7" w:rsidRDefault="005A6FD7" w:rsidP="005A6FD7">
      <w:pPr>
        <w:rPr>
          <w:b/>
          <w:bCs/>
        </w:rPr>
      </w:pPr>
      <w:r w:rsidRPr="005A6FD7">
        <w:rPr>
          <w:b/>
          <w:bCs/>
        </w:rPr>
        <w:t>Roadmap €0 → €2M</w:t>
      </w:r>
    </w:p>
    <w:p w14:paraId="241A49C7" w14:textId="77777777" w:rsidR="005A6FD7" w:rsidRPr="005A6FD7" w:rsidRDefault="005A6FD7" w:rsidP="005A6FD7">
      <w:r w:rsidRPr="005A6FD7">
        <w:t>Accumulate through €10k–€100k on autopilot with zero allocation changes → formalize a written investment policy at €100k → begin light satellite-trimming conversations (not requirements) at €500k–€1M → reassess AI/tech thesis and consider a future decumulation-phase plan only as you approach whatever number represents your personal "enough" (Section 4).</w:t>
      </w:r>
    </w:p>
    <w:p w14:paraId="1F8D17A9" w14:textId="77777777" w:rsidR="005A6FD7" w:rsidRPr="005A6FD7" w:rsidRDefault="005A6FD7" w:rsidP="005A6FD7">
      <w:pPr>
        <w:rPr>
          <w:b/>
          <w:bCs/>
        </w:rPr>
      </w:pPr>
      <w:r w:rsidRPr="005A6FD7">
        <w:rPr>
          <w:b/>
          <w:bCs/>
        </w:rPr>
        <w:t>Monthly Investment Plan</w:t>
      </w:r>
    </w:p>
    <w:p w14:paraId="02D16300" w14:textId="77777777" w:rsidR="005A6FD7" w:rsidRPr="005A6FD7" w:rsidRDefault="005A6FD7" w:rsidP="005A6FD7">
      <w:r w:rsidRPr="005A6FD7">
        <w:t>Every contribution (6% of trading profits) split 60/25/7/4/4 automatically via broker savings plans; rebalance quarterly or when any sleeve drifts more than ~5 percentage points from target.</w:t>
      </w:r>
    </w:p>
    <w:p w14:paraId="35CF97BF" w14:textId="77777777" w:rsidR="005A6FD7" w:rsidRPr="005A6FD7" w:rsidRDefault="005A6FD7" w:rsidP="005A6FD7">
      <w:pPr>
        <w:rPr>
          <w:b/>
          <w:bCs/>
        </w:rPr>
      </w:pPr>
      <w:r w:rsidRPr="005A6FD7">
        <w:rPr>
          <w:b/>
          <w:bCs/>
        </w:rPr>
        <w:t>Rebalancing Strategy</w:t>
      </w:r>
    </w:p>
    <w:p w14:paraId="77FD3C53" w14:textId="77777777" w:rsidR="005A6FD7" w:rsidRPr="005A6FD7" w:rsidRDefault="005A6FD7" w:rsidP="005A6FD7">
      <w:pPr>
        <w:numPr>
          <w:ilvl w:val="0"/>
          <w:numId w:val="12"/>
        </w:numPr>
      </w:pPr>
      <w:r w:rsidRPr="005A6FD7">
        <w:rPr>
          <w:b/>
          <w:bCs/>
        </w:rPr>
        <w:t>Frequency:</w:t>
      </w:r>
      <w:r w:rsidRPr="005A6FD7">
        <w:t xml:space="preserve"> </w:t>
      </w:r>
      <w:proofErr w:type="gramStart"/>
      <w:r w:rsidRPr="005A6FD7">
        <w:t>check quarterly,</w:t>
      </w:r>
      <w:proofErr w:type="gramEnd"/>
      <w:r w:rsidRPr="005A6FD7">
        <w:t xml:space="preserve"> act only if a holding has drifted more than ~5 percentage points from its target weight (avoids over-trading and unnecessary transaction costs/tax events).</w:t>
      </w:r>
    </w:p>
    <w:p w14:paraId="49002700" w14:textId="77777777" w:rsidR="005A6FD7" w:rsidRPr="005A6FD7" w:rsidRDefault="005A6FD7" w:rsidP="005A6FD7">
      <w:pPr>
        <w:numPr>
          <w:ilvl w:val="0"/>
          <w:numId w:val="12"/>
        </w:numPr>
      </w:pPr>
      <w:r w:rsidRPr="005A6FD7">
        <w:rPr>
          <w:b/>
          <w:bCs/>
        </w:rPr>
        <w:t>Method:</w:t>
      </w:r>
      <w:r w:rsidRPr="005A6FD7">
        <w:t xml:space="preserve"> rebalance primarily through </w:t>
      </w:r>
      <w:r w:rsidRPr="005A6FD7">
        <w:rPr>
          <w:i/>
          <w:iCs/>
        </w:rPr>
        <w:t>new contributions</w:t>
      </w:r>
      <w:r w:rsidRPr="005A6FD7">
        <w:t xml:space="preserve"> (buy more of whatever's underweight) rather than selling — this avoids triggering any taxable events and is the most cost-efficient way to rebalance a growing portfolio.</w:t>
      </w:r>
    </w:p>
    <w:p w14:paraId="25E505BD" w14:textId="77777777" w:rsidR="005A6FD7" w:rsidRPr="005A6FD7" w:rsidRDefault="005A6FD7" w:rsidP="005A6FD7">
      <w:pPr>
        <w:numPr>
          <w:ilvl w:val="0"/>
          <w:numId w:val="12"/>
        </w:numPr>
      </w:pPr>
      <w:r w:rsidRPr="005A6FD7">
        <w:rPr>
          <w:b/>
          <w:bCs/>
        </w:rPr>
        <w:t>Only sell to rebalance</w:t>
      </w:r>
      <w:r w:rsidRPr="005A6FD7">
        <w:t xml:space="preserve"> if new contributions alone can't close the gap fast enough (e.g., after an outsized rally in one satellite).</w:t>
      </w:r>
    </w:p>
    <w:p w14:paraId="5E19FC39" w14:textId="77777777" w:rsidR="005A6FD7" w:rsidRPr="005A6FD7" w:rsidRDefault="005A6FD7" w:rsidP="005A6FD7">
      <w:pPr>
        <w:rPr>
          <w:b/>
          <w:bCs/>
        </w:rPr>
      </w:pPr>
      <w:r w:rsidRPr="005A6FD7">
        <w:rPr>
          <w:b/>
          <w:bCs/>
        </w:rPr>
        <w:t>Concise Action Plan</w:t>
      </w:r>
    </w:p>
    <w:p w14:paraId="25EE0B5F" w14:textId="77777777" w:rsidR="005A6FD7" w:rsidRPr="005A6FD7" w:rsidRDefault="005A6FD7" w:rsidP="005A6FD7">
      <w:pPr>
        <w:numPr>
          <w:ilvl w:val="0"/>
          <w:numId w:val="13"/>
        </w:numPr>
      </w:pPr>
      <w:r w:rsidRPr="005A6FD7">
        <w:t>Open/confirm a broker that supports fractional UCITS ETF savings plans (DEGIRO, Trade Republic, Scalable Capital, or similar, commonly used by NL-based investors).</w:t>
      </w:r>
    </w:p>
    <w:p w14:paraId="38370E3C" w14:textId="77777777" w:rsidR="005A6FD7" w:rsidRPr="005A6FD7" w:rsidRDefault="005A6FD7" w:rsidP="005A6FD7">
      <w:pPr>
        <w:numPr>
          <w:ilvl w:val="0"/>
          <w:numId w:val="13"/>
        </w:numPr>
      </w:pPr>
      <w:r w:rsidRPr="005A6FD7">
        <w:t>Set up five automated recurring buys in the 60/25/7/4/4 ratio, funded by your monthly 6%-of-profits ETF stream.</w:t>
      </w:r>
    </w:p>
    <w:p w14:paraId="3329DBA7" w14:textId="77777777" w:rsidR="005A6FD7" w:rsidRPr="005A6FD7" w:rsidRDefault="005A6FD7" w:rsidP="005A6FD7">
      <w:pPr>
        <w:numPr>
          <w:ilvl w:val="0"/>
          <w:numId w:val="13"/>
        </w:numPr>
      </w:pPr>
      <w:r w:rsidRPr="005A6FD7">
        <w:t>Write a one-page Investment Policy Statement: target %, rebalance rule (±5pp, via new contributions first), and a personal rule never to sell during a drawdown driven by fear rather than a plan change.</w:t>
      </w:r>
    </w:p>
    <w:p w14:paraId="67DC76EC" w14:textId="77777777" w:rsidR="005A6FD7" w:rsidRPr="005A6FD7" w:rsidRDefault="005A6FD7" w:rsidP="005A6FD7">
      <w:pPr>
        <w:numPr>
          <w:ilvl w:val="0"/>
          <w:numId w:val="13"/>
        </w:numPr>
      </w:pPr>
      <w:r w:rsidRPr="005A6FD7">
        <w:t>Revisit the plan itself once a year — not the market, the plan — and at each milestone in Section 4.</w:t>
      </w:r>
    </w:p>
    <w:p w14:paraId="0FCB3319" w14:textId="77777777" w:rsidR="005A6FD7" w:rsidRPr="005A6FD7" w:rsidRDefault="005A6FD7" w:rsidP="005A6FD7">
      <w:pPr>
        <w:numPr>
          <w:ilvl w:val="0"/>
          <w:numId w:val="13"/>
        </w:numPr>
      </w:pPr>
      <w:r w:rsidRPr="005A6FD7">
        <w:t>Keep the trading algorithm and the ETF portfolio mentally and operationally separate: one is your income engine, the other is your insurance policy against that engine ever failing.</w:t>
      </w:r>
    </w:p>
    <w:p w14:paraId="79994763" w14:textId="77777777" w:rsidR="008A414A" w:rsidRPr="005A6FD7" w:rsidRDefault="008A414A" w:rsidP="005A6FD7"/>
    <w:sectPr w:rsidR="008A414A" w:rsidRPr="005A6F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71F4"/>
    <w:multiLevelType w:val="multilevel"/>
    <w:tmpl w:val="DE50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5355A"/>
    <w:multiLevelType w:val="multilevel"/>
    <w:tmpl w:val="01DE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A21C8D"/>
    <w:multiLevelType w:val="multilevel"/>
    <w:tmpl w:val="176E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342A1D"/>
    <w:multiLevelType w:val="multilevel"/>
    <w:tmpl w:val="A814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B7318B"/>
    <w:multiLevelType w:val="multilevel"/>
    <w:tmpl w:val="B05A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294419"/>
    <w:multiLevelType w:val="multilevel"/>
    <w:tmpl w:val="46025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570282"/>
    <w:multiLevelType w:val="multilevel"/>
    <w:tmpl w:val="EDF0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A31E79"/>
    <w:multiLevelType w:val="multilevel"/>
    <w:tmpl w:val="6C7C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08129F"/>
    <w:multiLevelType w:val="multilevel"/>
    <w:tmpl w:val="278C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C63CD1"/>
    <w:multiLevelType w:val="multilevel"/>
    <w:tmpl w:val="BEEE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483296"/>
    <w:multiLevelType w:val="multilevel"/>
    <w:tmpl w:val="B0FE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220F56"/>
    <w:multiLevelType w:val="multilevel"/>
    <w:tmpl w:val="0FD2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2C1F95"/>
    <w:multiLevelType w:val="multilevel"/>
    <w:tmpl w:val="B302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979365">
    <w:abstractNumId w:val="1"/>
  </w:num>
  <w:num w:numId="2" w16cid:durableId="517695919">
    <w:abstractNumId w:val="6"/>
  </w:num>
  <w:num w:numId="3" w16cid:durableId="2140685129">
    <w:abstractNumId w:val="4"/>
  </w:num>
  <w:num w:numId="4" w16cid:durableId="424351507">
    <w:abstractNumId w:val="12"/>
  </w:num>
  <w:num w:numId="5" w16cid:durableId="1854605202">
    <w:abstractNumId w:val="9"/>
  </w:num>
  <w:num w:numId="6" w16cid:durableId="775295202">
    <w:abstractNumId w:val="7"/>
  </w:num>
  <w:num w:numId="7" w16cid:durableId="1347252236">
    <w:abstractNumId w:val="10"/>
  </w:num>
  <w:num w:numId="8" w16cid:durableId="1513449353">
    <w:abstractNumId w:val="8"/>
  </w:num>
  <w:num w:numId="9" w16cid:durableId="1783841353">
    <w:abstractNumId w:val="3"/>
  </w:num>
  <w:num w:numId="10" w16cid:durableId="2061435208">
    <w:abstractNumId w:val="11"/>
  </w:num>
  <w:num w:numId="11" w16cid:durableId="1537310231">
    <w:abstractNumId w:val="2"/>
  </w:num>
  <w:num w:numId="12" w16cid:durableId="736129092">
    <w:abstractNumId w:val="0"/>
  </w:num>
  <w:num w:numId="13" w16cid:durableId="17765160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FD7"/>
    <w:rsid w:val="000D7295"/>
    <w:rsid w:val="005A6FD7"/>
    <w:rsid w:val="005E3F5B"/>
    <w:rsid w:val="008A414A"/>
    <w:rsid w:val="00B83376"/>
    <w:rsid w:val="00C96F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FD9A2"/>
  <w15:chartTrackingRefBased/>
  <w15:docId w15:val="{FA1D9447-8F44-4CB1-AFCF-DEC8A9BD2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F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6F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6F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6F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6F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6F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F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F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F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F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6F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6F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6F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6F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6F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F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F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FD7"/>
    <w:rPr>
      <w:rFonts w:eastAsiaTheme="majorEastAsia" w:cstheme="majorBidi"/>
      <w:color w:val="272727" w:themeColor="text1" w:themeTint="D8"/>
    </w:rPr>
  </w:style>
  <w:style w:type="paragraph" w:styleId="Title">
    <w:name w:val="Title"/>
    <w:basedOn w:val="Normal"/>
    <w:next w:val="Normal"/>
    <w:link w:val="TitleChar"/>
    <w:uiPriority w:val="10"/>
    <w:qFormat/>
    <w:rsid w:val="005A6F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F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F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F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FD7"/>
    <w:pPr>
      <w:spacing w:before="160"/>
      <w:jc w:val="center"/>
    </w:pPr>
    <w:rPr>
      <w:i/>
      <w:iCs/>
      <w:color w:val="404040" w:themeColor="text1" w:themeTint="BF"/>
    </w:rPr>
  </w:style>
  <w:style w:type="character" w:customStyle="1" w:styleId="QuoteChar">
    <w:name w:val="Quote Char"/>
    <w:basedOn w:val="DefaultParagraphFont"/>
    <w:link w:val="Quote"/>
    <w:uiPriority w:val="29"/>
    <w:rsid w:val="005A6FD7"/>
    <w:rPr>
      <w:i/>
      <w:iCs/>
      <w:color w:val="404040" w:themeColor="text1" w:themeTint="BF"/>
    </w:rPr>
  </w:style>
  <w:style w:type="paragraph" w:styleId="ListParagraph">
    <w:name w:val="List Paragraph"/>
    <w:basedOn w:val="Normal"/>
    <w:uiPriority w:val="34"/>
    <w:qFormat/>
    <w:rsid w:val="005A6FD7"/>
    <w:pPr>
      <w:ind w:left="720"/>
      <w:contextualSpacing/>
    </w:pPr>
  </w:style>
  <w:style w:type="character" w:styleId="IntenseEmphasis">
    <w:name w:val="Intense Emphasis"/>
    <w:basedOn w:val="DefaultParagraphFont"/>
    <w:uiPriority w:val="21"/>
    <w:qFormat/>
    <w:rsid w:val="005A6FD7"/>
    <w:rPr>
      <w:i/>
      <w:iCs/>
      <w:color w:val="0F4761" w:themeColor="accent1" w:themeShade="BF"/>
    </w:rPr>
  </w:style>
  <w:style w:type="paragraph" w:styleId="IntenseQuote">
    <w:name w:val="Intense Quote"/>
    <w:basedOn w:val="Normal"/>
    <w:next w:val="Normal"/>
    <w:link w:val="IntenseQuoteChar"/>
    <w:uiPriority w:val="30"/>
    <w:qFormat/>
    <w:rsid w:val="005A6F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6FD7"/>
    <w:rPr>
      <w:i/>
      <w:iCs/>
      <w:color w:val="0F4761" w:themeColor="accent1" w:themeShade="BF"/>
    </w:rPr>
  </w:style>
  <w:style w:type="character" w:styleId="IntenseReference">
    <w:name w:val="Intense Reference"/>
    <w:basedOn w:val="DefaultParagraphFont"/>
    <w:uiPriority w:val="32"/>
    <w:qFormat/>
    <w:rsid w:val="005A6F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3730</Words>
  <Characters>21265</Characters>
  <Application>Microsoft Office Word</Application>
  <DocSecurity>0</DocSecurity>
  <Lines>177</Lines>
  <Paragraphs>49</Paragraphs>
  <ScaleCrop>false</ScaleCrop>
  <Company/>
  <LinksUpToDate>false</LinksUpToDate>
  <CharactersWithSpaces>24946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Tijmen Koenis</dc:creator>
  <cp:keywords/>
  <dc:description/>
  <cp:lastModifiedBy>Tijmen Koenis</cp:lastModifiedBy>
  <cp:revision>1</cp:revision>
  <dcterms:created xsi:type="dcterms:W3CDTF">2026-07-06T13:15:00Z</dcterms:created>
  <dcterms:modified xsi:type="dcterms:W3CDTF">2026-07-06T13:16:00Z</dcterms:modified>
</cp:coreProperties>
</file>