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Field generation support for TokenTally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Request for integration with TokenTally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Tier 1: Calculation-Critical (Highest Priority)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directly improve cost forecasting accuracy: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1. </w:t>
      </w:r>
      <w:r w:rsidDel="00000000" w:rsidR="00000000" w:rsidRPr="00000000">
        <w:rPr>
          <w:b w:val="1"/>
          <w:bCs w:val="1"/>
          <w:rtl w:val="0"/>
        </w:rPr>
        <w:t xml:space="preserve">context_window_size</w:t>
      </w:r>
      <w:r w:rsidDel="00000000" w:rsidR="00000000" w:rsidRPr="00000000">
        <w:rPr>
          <w:rtl w:val="0"/>
        </w:rPr>
        <w:t xml:space="preserve"> (integer) - Maximum tokens the model can process</w:t>
        <w:br w:type="textWrapping"/>
        <w:t xml:space="preserve">   - Why: Validates user configurations don’t exceed model limits (prevents production failures)</w:t>
        <w:br w:type="textWrapping"/>
        <w:t xml:space="preserve">   - Example: 200000 for Claude Sonnet 4.5</w:t>
        <w:br w:type="textWrapping"/>
        <w:t xml:space="preserve">   - </w:t>
      </w:r>
      <w:r w:rsidDel="00000000" w:rsidR="00000000" w:rsidRPr="00000000">
        <w:rPr>
          <w:b w:val="1"/>
          <w:bCs w:val="1"/>
          <w:rtl w:val="0"/>
        </w:rPr>
        <w:t xml:space="preserve">Not in current AI-BOM standard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*</w:t>
      </w:r>
      <w:r w:rsidDel="00000000" w:rsidR="00000000" w:rsidRPr="00000000">
        <w:rPr>
          <w:b w:val="1"/>
          <w:bCs w:val="1"/>
          <w:rtl w:val="0"/>
        </w:rPr>
        <w:t xml:space="preserve">max_output_tokens</w:t>
      </w:r>
      <w:r w:rsidDel="00000000" w:rsidR="00000000" w:rsidRPr="00000000">
        <w:rPr>
          <w:rtl w:val="0"/>
        </w:rPr>
        <w:t xml:space="preserve">* (integer) - Maximum response length</w:t>
        <w:br w:type="textWrapping"/>
        <w:t xml:space="preserve">   - Why: Improves response validation, prevents user input errors</w:t>
        <w:br w:type="textWrapping"/>
        <w:t xml:space="preserve">   - Example: 16384</w:t>
        <w:br w:type="textWrapping"/>
        <w:t xml:space="preserve">   - </w:t>
      </w:r>
      <w:r w:rsidDel="00000000" w:rsidR="00000000" w:rsidRPr="00000000">
        <w:rPr>
          <w:b w:val="1"/>
          <w:bCs w:val="1"/>
          <w:rtl w:val="0"/>
        </w:rPr>
        <w:t xml:space="preserve">Not in current AI-BOM standard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 *</w:t>
      </w:r>
      <w:r w:rsidDel="00000000" w:rsidR="00000000" w:rsidRPr="00000000">
        <w:rPr>
          <w:b w:val="1"/>
          <w:bCs w:val="1"/>
          <w:rtl w:val="0"/>
        </w:rPr>
        <w:t xml:space="preserve">rate_limits</w:t>
      </w:r>
      <w:r w:rsidDel="00000000" w:rsidR="00000000" w:rsidRPr="00000000">
        <w:rPr>
          <w:rtl w:val="0"/>
        </w:rPr>
        <w:t xml:space="preserve">* (object: {rpm, tpm, tier}) - API throughput constraints</w:t>
        <w:br w:type="textWrapping"/>
        <w:t xml:space="preserve">   - Why: Enables realistic capacity planning for high-volume deployments</w:t>
        <w:br w:type="textWrapping"/>
        <w:t xml:space="preserve">   - Example: {rpm: 4000, tpm: 400000, tier: “standard”}</w:t>
        <w:br w:type="textWrapping"/>
        <w:t xml:space="preserve">   - </w:t>
      </w:r>
      <w:r w:rsidDel="00000000" w:rsidR="00000000" w:rsidRPr="00000000">
        <w:rPr>
          <w:b w:val="1"/>
          <w:bCs w:val="1"/>
          <w:rtl w:val="0"/>
        </w:rPr>
        <w:t xml:space="preserve">Not in current AI-BOM standard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*</w:t>
      </w:r>
      <w:r w:rsidDel="00000000" w:rsidR="00000000" w:rsidRPr="00000000">
        <w:rPr>
          <w:b w:val="1"/>
          <w:bCs w:val="1"/>
          <w:rtl w:val="0"/>
        </w:rPr>
        <w:t xml:space="preserve">supported_features</w:t>
      </w:r>
      <w:r w:rsidDel="00000000" w:rsidR="00000000" w:rsidRPr="00000000">
        <w:rPr>
          <w:rtl w:val="0"/>
        </w:rPr>
        <w:t xml:space="preserve">* (string array) - Capabilities like vision, function calling</w:t>
        <w:br w:type="textWrapping"/>
        <w:t xml:space="preserve">   - Why: Helps users select appropriate models for their use case</w:t>
        <w:br w:type="textWrapping"/>
        <w:t xml:space="preserve">   - Example: [“vision”, “function_calling”, “json_mode”]</w:t>
        <w:br w:type="textWrapping"/>
        <w:t xml:space="preserve">   - Partial mapping: modelCard.modelParameters.inputs/outputs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Tier 2: Lifecycle Management (Medium Priority)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These improve user trust and migration planning: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*</w:t>
      </w:r>
      <w:r w:rsidDel="00000000" w:rsidR="00000000" w:rsidRPr="00000000">
        <w:rPr>
          <w:b w:val="1"/>
          <w:bCs w:val="1"/>
          <w:rtl w:val="0"/>
        </w:rPr>
        <w:t xml:space="preserve">training_data_cutoff</w:t>
      </w:r>
      <w:r w:rsidDel="00000000" w:rsidR="00000000" w:rsidRPr="00000000">
        <w:rPr>
          <w:rtl w:val="0"/>
        </w:rPr>
        <w:t xml:space="preserve">* (YYYY-MM string) - Knowledge currency</w:t>
        <w:br w:type="textWrapping"/>
        <w:t xml:space="preserve">   - Why: Users need to know if model is current for their domain</w:t>
        <w:br w:type="textWrapping"/>
        <w:t xml:space="preserve">   - Example: “2025-01”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6. *</w:t>
      </w:r>
      <w:r w:rsidDel="00000000" w:rsidR="00000000" w:rsidRPr="00000000">
        <w:rPr>
          <w:b w:val="1"/>
          <w:bCs w:val="1"/>
          <w:rtl w:val="0"/>
        </w:rPr>
        <w:t xml:space="preserve">deprecation_date</w:t>
      </w:r>
      <w:r w:rsidDel="00000000" w:rsidR="00000000" w:rsidRPr="00000000">
        <w:rPr>
          <w:rtl w:val="0"/>
        </w:rPr>
        <w:t xml:space="preserve">* (YYYY-MM-DD string) - When model will be removed</w:t>
        <w:br w:type="textWrapping"/>
        <w:t xml:space="preserve">   - Why: Proactive migration planning vs surprise disruptions</w:t>
        <w:br w:type="textWrapping"/>
        <w:t xml:space="preserve">   - Example: “2026-12-31"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7. *</w:t>
      </w:r>
      <w:r w:rsidDel="00000000" w:rsidR="00000000" w:rsidRPr="00000000">
        <w:rPr>
          <w:b w:val="1"/>
          <w:bCs w:val="1"/>
          <w:rtl w:val="0"/>
        </w:rPr>
        <w:t xml:space="preserve">replacement_model_id</w:t>
      </w:r>
      <w:r w:rsidDel="00000000" w:rsidR="00000000" w:rsidRPr="00000000">
        <w:rPr>
          <w:rtl w:val="0"/>
        </w:rPr>
        <w:t xml:space="preserve">* (string) - Recommended migration path</w:t>
        <w:br w:type="textWrapping"/>
        <w:t xml:space="preserve">   - Why: Guides users to equivalent models when deprecation approaches</w:t>
        <w:br w:type="textWrapping"/>
        <w:t xml:space="preserve">   - Example: “claude-sonnet-5”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Tier 3: Compliance &amp; Documentation (Lower Priority)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Already in AI-BOM standard, would be valuable if available:</w:t>
        <w:br w:type="textWrapping"/>
        <w:t xml:space="preserve">- license (legal clarity)</w:t>
        <w:br w:type="textWrapping"/>
        <w:t xml:space="preserve">- documentation_url / model_card_url (user education)</w:t>
        <w:br w:type="textWrapping"/>
        <w:t xml:space="preserve">- architecture_family / primary_task (transparency)</w:t>
        <w:br w:type="textWrapping"/>
        <w:t xml:space="preserve">- limitations (risk awareness)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Mapping analysis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AIBOM generator (as of December 2025) produces a static snapshot of model metadata based solely on artifacts hosted in Hugging Face repositories, and does not include deployment- or runtime-specific attributes.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2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855"/>
        <w:gridCol w:w="1125"/>
        <w:gridCol w:w="1410"/>
        <w:gridCol w:w="1665"/>
        <w:gridCol w:w="1470"/>
        <w:gridCol w:w="4020"/>
        <w:tblGridChange w:id="0">
          <w:tblGrid>
            <w:gridCol w:w="2400"/>
            <w:gridCol w:w="855"/>
            <w:gridCol w:w="1125"/>
            <w:gridCol w:w="1410"/>
            <w:gridCol w:w="1665"/>
            <w:gridCol w:w="1470"/>
            <w:gridCol w:w="40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Static or Runtime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Implemented Today?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Field Mapping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Be Implemented?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&amp; Extraction Plan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context_window_size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Tier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sdt>
              <w:sdtPr>
                <w:id w:val="-29238734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Static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-25845892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Not yet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sdt>
              <w:sdtPr>
                <w:id w:val="206133728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Extract from config.max_position_embeddings or equivalent (model-dependent); fallback to card parsing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max_output_tokens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Tier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sdt>
              <w:sdtPr>
                <w:id w:val="118610006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Static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sdt>
              <w:sdtPr>
                <w:id w:val="-200265686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Not yet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sdt>
              <w:sdtPr>
                <w:id w:val="187962734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Extract from generation_config.max_new_tokens; fallback to model card 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rate_limits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Tier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sdt>
              <w:sdtPr>
                <w:id w:val="-88444800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Runtime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sdt>
              <w:sdtPr>
                <w:id w:val="143019106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sdt>
              <w:sdtPr>
                <w:id w:val="-113139840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Deployment-specific; intentionally excluded from AIBOM as not statically derivable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supported_features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Tier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sdt>
              <w:sdtPr>
                <w:id w:val="-191586474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Static (declared)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-145502465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Not yet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-64398251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Partial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Requires text parsing from model card (e.g., “supports vision, json mode, etc.”); confidence medium-low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training_data_cutoff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Tier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sdt>
              <w:sdtPr>
                <w:id w:val="-94274124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Static (if declared)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sdt>
              <w:sdtPr>
                <w:id w:val="51644465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Not yet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131420884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Partial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Can use regex in model card (e.g., “trained until 2024-10”); confidence low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deprecation_date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Tier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sdt>
              <w:sdtPr>
                <w:id w:val="139229000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Policy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sdt>
              <w:sdtPr>
                <w:id w:val="-174671151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sdt>
              <w:sdtPr>
                <w:id w:val="-6849445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Not recommended for now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Not part of model artifacts as of today (lack of best practice and structured documentation); only available from provider policy or registry (however, commercial providers don’t typical publish via HF)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Ideally, this should be included in model-index.yaml or config.json file, for example: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deprecation_date: 2024-12-31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replacement_model_id: my-newer-model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replacement_model_id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Tier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-71071149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Policy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sdt>
              <w:sdtPr>
                <w:id w:val="164183119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sdt>
              <w:sdtPr>
                <w:id w:val="-55133790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Not recommended for now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Not inferable statically; depends on provider roadmap; same as ‘deprecation_date’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license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Tier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sdt>
              <w:sdtPr>
                <w:id w:val="-80521824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Static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-1190254578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license (top-level metadata)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Pulled from HF API metadata or model_card.license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documentation_url / model_card_url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Tier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143370035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Static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-66077495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externalReferences with type documentation or model-card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Deterministically added via HF repo structure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architecture_family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Tier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1955287824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Static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sdt>
              <w:sdtPr>
                <w:id w:val="-23088377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model_type from config.json → mapped to family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Derived from architecture-specific configs (llama, gpt2, etc.)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limitations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Tier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sdt>
              <w:sdtPr>
                <w:id w:val="837971458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Static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sdt>
              <w:sdtPr>
                <w:id w:val="-422111912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Yes (partially)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limitations</w:t>
            </w:r>
            <w:r w:rsidDel="00000000" w:rsidR="00000000" w:rsidRPr="00000000">
              <w:rPr>
                <w:rtl w:val="0"/>
              </w:rPr>
              <w:t xml:space="preserve"> field from model card parsing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Already extracted from free-text using section parsing; confidence is low due to variability in card structure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426" w:top="567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C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8788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8788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8788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8788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8788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8788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8788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8788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8788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8788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8788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8788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8788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8788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8788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8788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8788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8788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8788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8788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8788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zNYwSHzgQH8OhbHgvmIQEm1BS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zgAciExMzVSODR0clFpUEVud3g3VzkwT01veG5SVld6S1kze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2025-12-18T17:18:00Z</dcterms:created>
  <dc:creator>Helen Oakley</dc:creator>
</cp:coreProperties>
</file>