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4177" w14:textId="77777777" w:rsidR="00EC1921" w:rsidRDefault="00000000">
      <w:pPr>
        <w:spacing w:before="2000"/>
        <w:jc w:val="center"/>
      </w:pPr>
      <w:r>
        <w:rPr>
          <w:b/>
          <w:bCs/>
          <w:color w:val="1F4E79"/>
          <w:sz w:val="42"/>
          <w:szCs w:val="42"/>
        </w:rPr>
        <w:t>Transforming Healthcare Through</w:t>
      </w:r>
    </w:p>
    <w:p w14:paraId="426347B9" w14:textId="77777777" w:rsidR="00EC1921" w:rsidRDefault="00000000">
      <w:pPr>
        <w:jc w:val="center"/>
      </w:pPr>
      <w:r>
        <w:rPr>
          <w:b/>
          <w:bCs/>
          <w:color w:val="1F4E79"/>
          <w:sz w:val="42"/>
          <w:szCs w:val="42"/>
        </w:rPr>
        <w:t>Artificial General Intelligence</w:t>
      </w:r>
    </w:p>
    <w:p w14:paraId="75C367B5" w14:textId="77777777" w:rsidR="00EC1921" w:rsidRDefault="00EC1921">
      <w:pPr>
        <w:spacing w:before="60" w:after="60"/>
      </w:pPr>
    </w:p>
    <w:p w14:paraId="646E9359" w14:textId="77777777" w:rsidR="00EC1921" w:rsidRDefault="00000000">
      <w:pPr>
        <w:spacing w:before="60"/>
        <w:jc w:val="center"/>
      </w:pPr>
      <w:r>
        <w:rPr>
          <w:i/>
          <w:iCs/>
          <w:color w:val="595959"/>
        </w:rPr>
        <w:t>A Case Study in AGI Application and Industry Evolution</w:t>
      </w:r>
    </w:p>
    <w:p w14:paraId="01179C45" w14:textId="77777777" w:rsidR="00EC1921" w:rsidRDefault="00000000">
      <w:pPr>
        <w:spacing w:before="1400"/>
        <w:jc w:val="center"/>
      </w:pPr>
      <w:r>
        <w:rPr>
          <w:color w:val="1A1A2E"/>
        </w:rPr>
        <w:t>Submitted by: Trilok</w:t>
      </w:r>
    </w:p>
    <w:p w14:paraId="01D2BBDE" w14:textId="51BDE450" w:rsidR="00EC1921" w:rsidRDefault="00000000">
      <w:pPr>
        <w:jc w:val="center"/>
      </w:pPr>
      <w:r>
        <w:rPr>
          <w:color w:val="1A1A2E"/>
        </w:rPr>
        <w:t xml:space="preserve">Course: </w:t>
      </w:r>
      <w:r w:rsidR="000C4C6F">
        <w:rPr>
          <w:color w:val="1A1A2E"/>
        </w:rPr>
        <w:t>ITAI 2372</w:t>
      </w:r>
    </w:p>
    <w:p w14:paraId="0C7DDAFE" w14:textId="77777777" w:rsidR="00EC1921" w:rsidRDefault="00000000">
      <w:pPr>
        <w:jc w:val="center"/>
      </w:pPr>
      <w:r>
        <w:rPr>
          <w:color w:val="1A1A2E"/>
        </w:rPr>
        <w:t>Date: April 28, 2026</w:t>
      </w:r>
    </w:p>
    <w:p w14:paraId="5346E8BF" w14:textId="04AA4877" w:rsidR="00EC1921" w:rsidRDefault="00000000">
      <w:pPr>
        <w:jc w:val="center"/>
      </w:pPr>
      <w:r>
        <w:rPr>
          <w:color w:val="1A1A2E"/>
        </w:rPr>
        <w:t xml:space="preserve">Instructor: </w:t>
      </w:r>
      <w:r w:rsidR="000C4C6F">
        <w:rPr>
          <w:color w:val="1A1A2E"/>
        </w:rPr>
        <w:t>Sridhar Ganti</w:t>
      </w:r>
    </w:p>
    <w:p w14:paraId="625BC7DD" w14:textId="77777777" w:rsidR="00EC1921" w:rsidRDefault="00000000">
      <w:r>
        <w:br w:type="page"/>
      </w:r>
    </w:p>
    <w:p w14:paraId="760F6045" w14:textId="77777777" w:rsidR="00EC1921" w:rsidRDefault="00000000">
      <w:pPr>
        <w:pStyle w:val="Heading1"/>
        <w:pBdr>
          <w:bottom w:val="single" w:sz="6" w:space="4" w:color="2E75B6"/>
        </w:pBdr>
      </w:pPr>
      <w:r>
        <w:lastRenderedPageBreak/>
        <w:t>Introduction</w:t>
      </w:r>
    </w:p>
    <w:p w14:paraId="46ED21FD" w14:textId="77777777" w:rsidR="00EC1921" w:rsidRDefault="00000000">
      <w:pPr>
        <w:spacing w:before="100" w:after="100" w:line="360" w:lineRule="auto"/>
        <w:jc w:val="both"/>
      </w:pPr>
      <w:r>
        <w:rPr>
          <w:color w:val="1A1A2E"/>
        </w:rPr>
        <w:t>Healthcare is one of those fields where the gap between what we know and what we can actually do for patients is still painfully wide. Doctors miss diagnoses, treatments are generic, and administrative overhead has become so consuming that many physicians spend more time on documentation than with patients. AI has started to chip away at some of these problems, but the tools available today are narrow by design. They can read a chest X-ray or flag an abnormal lab value, yet they cannot sit with complexity the way a skilled clinician does.</w:t>
      </w:r>
    </w:p>
    <w:p w14:paraId="123DC88B" w14:textId="77777777" w:rsidR="00EC1921" w:rsidRDefault="00EC1921">
      <w:pPr>
        <w:spacing w:before="60" w:after="60"/>
      </w:pPr>
    </w:p>
    <w:p w14:paraId="674349F8" w14:textId="77777777" w:rsidR="00EC1921" w:rsidRDefault="00000000">
      <w:pPr>
        <w:spacing w:before="100" w:after="100" w:line="360" w:lineRule="auto"/>
        <w:jc w:val="both"/>
      </w:pPr>
      <w:r>
        <w:rPr>
          <w:color w:val="1A1A2E"/>
        </w:rPr>
        <w:t>Artificial General Intelligence changes that equation in a fundamental way. Unlike narrow AI, AGI is not built to solve one problem well. It is designed to reason across problems, learn from new situations without being explicitly reprogrammed, and adapt its understanding as context shifts. In healthcare, that kind of flexibility is not a luxury. It is exactly what patient care demands. This case study explores what AGI could look like in practice within the healthcare industry, what benefits it might realistically deliver, and what risks would need to be taken seriously along the way.</w:t>
      </w:r>
    </w:p>
    <w:p w14:paraId="1B79A841" w14:textId="77777777" w:rsidR="00EC1921" w:rsidRDefault="00000000">
      <w:r>
        <w:br w:type="page"/>
      </w:r>
    </w:p>
    <w:p w14:paraId="25389471" w14:textId="77777777" w:rsidR="00EC1921" w:rsidRDefault="00000000">
      <w:pPr>
        <w:pStyle w:val="Heading1"/>
        <w:pBdr>
          <w:bottom w:val="single" w:sz="6" w:space="4" w:color="2E75B6"/>
        </w:pBdr>
      </w:pPr>
      <w:r>
        <w:lastRenderedPageBreak/>
        <w:t>Industry Analysis</w:t>
      </w:r>
    </w:p>
    <w:p w14:paraId="06A369D4" w14:textId="77777777" w:rsidR="00EC1921" w:rsidRDefault="00000000">
      <w:pPr>
        <w:pStyle w:val="Heading2"/>
      </w:pPr>
      <w:r>
        <w:t>The Current State of Healthcare</w:t>
      </w:r>
    </w:p>
    <w:p w14:paraId="461F9506" w14:textId="77777777" w:rsidR="00EC1921" w:rsidRDefault="00000000">
      <w:pPr>
        <w:spacing w:before="100" w:after="100" w:line="360" w:lineRule="auto"/>
        <w:jc w:val="both"/>
      </w:pPr>
      <w:r>
        <w:rPr>
          <w:color w:val="1A1A2E"/>
        </w:rPr>
        <w:t>Healthcare globally is under significant strain. In the United States alone, the system serves hundreds of millions of patients across a fragmented network of hospitals, clinics, insurers, and specialists. Despite massive investment in technology over the past two decades, core problems persist. Diagnostic errors affect an estimated 12 million Americans annually, contributing to patient harm and preventable deaths (Singh et al., 2014). Physician burnout has reached crisis levels, with studies showing that administrative tasks now account for nearly two thirds of a doctor's working day (Arndt et al., 2017).</w:t>
      </w:r>
    </w:p>
    <w:p w14:paraId="44A4EB0F" w14:textId="77777777" w:rsidR="00EC1921" w:rsidRDefault="00EC1921">
      <w:pPr>
        <w:spacing w:before="60" w:after="60"/>
      </w:pPr>
    </w:p>
    <w:p w14:paraId="05DA7D2A" w14:textId="77777777" w:rsidR="00EC1921" w:rsidRDefault="00000000">
      <w:pPr>
        <w:spacing w:before="100" w:after="100" w:line="360" w:lineRule="auto"/>
        <w:jc w:val="both"/>
      </w:pPr>
      <w:r>
        <w:rPr>
          <w:color w:val="1A1A2E"/>
        </w:rPr>
        <w:t>Rural communities are especially hard hit. Access to specialists can mean driving hours or waiting weeks for an appointment. Meanwhile, drug discovery timelines remain extraordinarily long. The average new medication takes 10 to 15 years from initial research to patient use and carries costs well above one billion dollars (DiMasi et al., 2016). The system is expensive, uneven, and reactive far more often than it is preventive.</w:t>
      </w:r>
    </w:p>
    <w:p w14:paraId="2A005826" w14:textId="77777777" w:rsidR="00EC1921" w:rsidRDefault="00000000">
      <w:pPr>
        <w:pStyle w:val="Heading2"/>
      </w:pPr>
      <w:r>
        <w:t>Existing Uses of AI in Healthcare</w:t>
      </w:r>
    </w:p>
    <w:p w14:paraId="6A4283DE" w14:textId="77777777" w:rsidR="00EC1921" w:rsidRDefault="00000000">
      <w:pPr>
        <w:spacing w:before="100" w:after="100" w:line="360" w:lineRule="auto"/>
        <w:jc w:val="both"/>
      </w:pPr>
      <w:r>
        <w:rPr>
          <w:color w:val="1A1A2E"/>
        </w:rPr>
        <w:t>Narrow AI has made genuine inroads. Computer vision models now assist radiologists in detecting tumors in imaging scans, sometimes with accuracy that rivals human specialists in specific, well-defined tasks. Natural language processing tools help with clinical note generation and medical coding. Predictive analytics flag patients at risk of hospital readmission. Companies like IBM Watson Health and Google DeepMind have brought these tools to clinical settings with varying degrees of success.</w:t>
      </w:r>
    </w:p>
    <w:p w14:paraId="14C9C23A" w14:textId="77777777" w:rsidR="00EC1921" w:rsidRDefault="00EC1921">
      <w:pPr>
        <w:spacing w:before="60" w:after="60"/>
      </w:pPr>
    </w:p>
    <w:p w14:paraId="1B2CF819" w14:textId="77777777" w:rsidR="00EC1921" w:rsidRDefault="00000000">
      <w:pPr>
        <w:spacing w:before="100" w:after="100" w:line="360" w:lineRule="auto"/>
        <w:jc w:val="both"/>
      </w:pPr>
      <w:r>
        <w:rPr>
          <w:color w:val="1A1A2E"/>
        </w:rPr>
        <w:t>The limitations, however, are real and well documented. These systems perform poorly outside the narrow slice of data they were trained on. They cannot ask a follow-up question, weigh social context, or reason about a case that does not fit the training distribution. They are useful tools, but they require constant human oversight and cannot operate autonomously across the full complexity of patient care. AGI would be something different altogether.</w:t>
      </w:r>
    </w:p>
    <w:p w14:paraId="2736A66F" w14:textId="77777777" w:rsidR="00EC1921" w:rsidRDefault="00000000">
      <w:r>
        <w:br w:type="page"/>
      </w:r>
    </w:p>
    <w:p w14:paraId="769BB182" w14:textId="77777777" w:rsidR="00EC1921" w:rsidRDefault="00000000">
      <w:pPr>
        <w:pStyle w:val="Heading1"/>
        <w:pBdr>
          <w:bottom w:val="single" w:sz="6" w:space="4" w:color="2E75B6"/>
        </w:pBdr>
      </w:pPr>
      <w:r>
        <w:lastRenderedPageBreak/>
        <w:t>Defining AGI and Its Distinguishing Features</w:t>
      </w:r>
    </w:p>
    <w:p w14:paraId="4DF5C97A" w14:textId="77777777" w:rsidR="00EC1921" w:rsidRDefault="00000000">
      <w:pPr>
        <w:spacing w:before="100" w:after="100" w:line="360" w:lineRule="auto"/>
        <w:jc w:val="both"/>
      </w:pPr>
      <w:r>
        <w:rPr>
          <w:color w:val="1A1A2E"/>
        </w:rPr>
        <w:t>Artificial General Intelligence refers to a form of machine intelligence capable of performing any intellectual task a human being can perform, across diverse domains, without needing to be specifically designed or retrained for each one. The key distinction from narrow AI lies in generalization. A narrow AI system trained to detect diabetic retinopathy cannot suddenly help with drug interactions or reading an EKG. AGI, by contrast, would apply the same underlying reasoning capabilities across all of these.</w:t>
      </w:r>
    </w:p>
    <w:p w14:paraId="693F33E5" w14:textId="77777777" w:rsidR="00EC1921" w:rsidRDefault="00EC1921">
      <w:pPr>
        <w:spacing w:before="60" w:after="60"/>
      </w:pPr>
    </w:p>
    <w:p w14:paraId="38B6CB95" w14:textId="77777777" w:rsidR="00EC1921" w:rsidRDefault="00000000">
      <w:pPr>
        <w:spacing w:before="100" w:after="100" w:line="360" w:lineRule="auto"/>
        <w:jc w:val="both"/>
      </w:pPr>
      <w:r>
        <w:rPr>
          <w:color w:val="1A1A2E"/>
        </w:rPr>
        <w:t>AGI is also characterized by the capacity to learn continuously from experience, to set and pursue goals over time, and to understand context in ways current AI cannot. It would be capable of what researchers call common sense reasoning, meaning the ability to fill in gaps with background knowledge the way humans do almost effortlessly. The table below summarizes the key differences between narrow AI and AGI as they would apply in a healthcare context.</w:t>
      </w:r>
    </w:p>
    <w:p w14:paraId="57ACE27A" w14:textId="77777777" w:rsidR="00EC1921" w:rsidRDefault="00EC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1921" w14:paraId="02E3C583"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7949E0" w14:textId="77777777" w:rsidR="00EC1921" w:rsidRDefault="00000000">
            <w:pPr>
              <w:jc w:val="center"/>
            </w:pPr>
            <w:r>
              <w:rPr>
                <w:b/>
                <w:bCs/>
                <w:color w:val="FFFFFF"/>
                <w:sz w:val="22"/>
                <w:szCs w:val="22"/>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E13CAE7" w14:textId="77777777" w:rsidR="00EC1921" w:rsidRDefault="00000000">
            <w:pPr>
              <w:jc w:val="center"/>
            </w:pPr>
            <w:r>
              <w:rPr>
                <w:b/>
                <w:bCs/>
                <w:color w:val="FFFFFF"/>
                <w:sz w:val="22"/>
                <w:szCs w:val="22"/>
              </w:rPr>
              <w:t>Narrow AI</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85BC00E" w14:textId="77777777" w:rsidR="00EC1921" w:rsidRDefault="00000000">
            <w:pPr>
              <w:jc w:val="center"/>
            </w:pPr>
            <w:r>
              <w:rPr>
                <w:b/>
                <w:bCs/>
                <w:color w:val="FFFFFF"/>
                <w:sz w:val="22"/>
                <w:szCs w:val="22"/>
              </w:rPr>
              <w:t>AGI</w:t>
            </w:r>
          </w:p>
        </w:tc>
      </w:tr>
      <w:tr w:rsidR="00EC1921" w14:paraId="1499D8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1CDFB2" w14:textId="77777777" w:rsidR="00EC1921" w:rsidRDefault="00000000">
            <w:r>
              <w:rPr>
                <w:color w:val="1A1A2E"/>
                <w:sz w:val="22"/>
                <w:szCs w:val="22"/>
              </w:rPr>
              <w:t>Task Scope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BE96D8" w14:textId="77777777" w:rsidR="00EC1921" w:rsidRDefault="00000000">
            <w:r>
              <w:rPr>
                <w:color w:val="1A1A2E"/>
                <w:sz w:val="22"/>
                <w:szCs w:val="22"/>
              </w:rPr>
              <w:t>Single predefined domain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ADAB85" w14:textId="77777777" w:rsidR="00EC1921" w:rsidRDefault="00000000">
            <w:r>
              <w:rPr>
                <w:color w:val="1A1A2E"/>
                <w:sz w:val="22"/>
                <w:szCs w:val="22"/>
              </w:rPr>
              <w:t>Any domain or problem type</w:t>
            </w:r>
          </w:p>
        </w:tc>
      </w:tr>
      <w:tr w:rsidR="00EC1921" w14:paraId="323C1D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673A5" w14:textId="77777777" w:rsidR="00EC1921" w:rsidRDefault="00000000">
            <w:r>
              <w:rPr>
                <w:color w:val="1A1A2E"/>
                <w:sz w:val="22"/>
                <w:szCs w:val="22"/>
              </w:rPr>
              <w:t>Learning Style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F65F1" w14:textId="77777777" w:rsidR="00EC1921" w:rsidRDefault="00000000">
            <w:r>
              <w:rPr>
                <w:color w:val="1A1A2E"/>
                <w:sz w:val="22"/>
                <w:szCs w:val="22"/>
              </w:rPr>
              <w:t>Static after training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6C90E" w14:textId="77777777" w:rsidR="00EC1921" w:rsidRDefault="00000000">
            <w:r>
              <w:rPr>
                <w:color w:val="1A1A2E"/>
                <w:sz w:val="22"/>
                <w:szCs w:val="22"/>
              </w:rPr>
              <w:t xml:space="preserve">Ongoing and </w:t>
            </w:r>
            <w:proofErr w:type="spellStart"/>
            <w:r>
              <w:rPr>
                <w:color w:val="1A1A2E"/>
                <w:sz w:val="22"/>
                <w:szCs w:val="22"/>
              </w:rPr>
              <w:t>self directed</w:t>
            </w:r>
            <w:proofErr w:type="spellEnd"/>
          </w:p>
        </w:tc>
      </w:tr>
      <w:tr w:rsidR="00EC1921" w14:paraId="001E64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4BCFAA" w14:textId="77777777" w:rsidR="00EC1921" w:rsidRDefault="00000000">
            <w:r>
              <w:rPr>
                <w:color w:val="1A1A2E"/>
                <w:sz w:val="22"/>
                <w:szCs w:val="22"/>
              </w:rPr>
              <w:t>Adaptability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6A87B9" w14:textId="77777777" w:rsidR="00EC1921" w:rsidRDefault="00000000">
            <w:r>
              <w:rPr>
                <w:color w:val="1A1A2E"/>
                <w:sz w:val="22"/>
                <w:szCs w:val="22"/>
              </w:rPr>
              <w:t>Needs explicit retraining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E58B51" w14:textId="77777777" w:rsidR="00EC1921" w:rsidRDefault="00000000">
            <w:r>
              <w:rPr>
                <w:color w:val="1A1A2E"/>
                <w:sz w:val="22"/>
                <w:szCs w:val="22"/>
              </w:rPr>
              <w:t>Generalizes across contexts</w:t>
            </w:r>
          </w:p>
        </w:tc>
      </w:tr>
      <w:tr w:rsidR="00EC1921" w14:paraId="4772A6A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D17A2" w14:textId="77777777" w:rsidR="00EC1921" w:rsidRDefault="00000000">
            <w:r>
              <w:rPr>
                <w:color w:val="1A1A2E"/>
                <w:sz w:val="22"/>
                <w:szCs w:val="22"/>
              </w:rPr>
              <w:t>Reasoning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05F26" w14:textId="77777777" w:rsidR="00EC1921" w:rsidRDefault="00000000">
            <w:r>
              <w:rPr>
                <w:color w:val="1A1A2E"/>
                <w:sz w:val="22"/>
                <w:szCs w:val="22"/>
              </w:rPr>
              <w:t>Pattern matching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EE6A2" w14:textId="77777777" w:rsidR="00EC1921" w:rsidRDefault="00000000">
            <w:r>
              <w:rPr>
                <w:color w:val="1A1A2E"/>
                <w:sz w:val="22"/>
                <w:szCs w:val="22"/>
              </w:rPr>
              <w:t>Causal and abstract reasoning</w:t>
            </w:r>
          </w:p>
        </w:tc>
      </w:tr>
      <w:tr w:rsidR="00EC1921" w14:paraId="1AA41F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70FBD0" w14:textId="77777777" w:rsidR="00EC1921" w:rsidRDefault="00000000">
            <w:r>
              <w:rPr>
                <w:color w:val="1A1A2E"/>
                <w:sz w:val="22"/>
                <w:szCs w:val="22"/>
              </w:rPr>
              <w:t>Autonomy Level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79208C" w14:textId="77777777" w:rsidR="00EC1921" w:rsidRDefault="00000000">
            <w:r>
              <w:rPr>
                <w:color w:val="1A1A2E"/>
                <w:sz w:val="22"/>
                <w:szCs w:val="22"/>
              </w:rPr>
              <w:t>Narrow rule following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E2675D" w14:textId="77777777" w:rsidR="00EC1921" w:rsidRDefault="00000000">
            <w:r>
              <w:rPr>
                <w:color w:val="1A1A2E"/>
                <w:sz w:val="22"/>
                <w:szCs w:val="22"/>
              </w:rPr>
              <w:t>Goal oriented decision making</w:t>
            </w:r>
          </w:p>
        </w:tc>
      </w:tr>
    </w:tbl>
    <w:p w14:paraId="2561B3E1" w14:textId="77777777" w:rsidR="00EC1921" w:rsidRDefault="00000000">
      <w:pPr>
        <w:spacing w:before="80" w:after="200"/>
        <w:jc w:val="center"/>
      </w:pPr>
      <w:r>
        <w:rPr>
          <w:i/>
          <w:iCs/>
          <w:color w:val="595959"/>
          <w:sz w:val="20"/>
          <w:szCs w:val="20"/>
        </w:rPr>
        <w:t>Table 1. Key distinctions between narrow AI systems currently in use and the proposed capabilities of AGI.</w:t>
      </w:r>
    </w:p>
    <w:p w14:paraId="303E9701" w14:textId="77777777" w:rsidR="00EC1921" w:rsidRDefault="00000000">
      <w:r>
        <w:br w:type="page"/>
      </w:r>
    </w:p>
    <w:p w14:paraId="6C33DA27" w14:textId="77777777" w:rsidR="00EC1921" w:rsidRDefault="00000000">
      <w:pPr>
        <w:pStyle w:val="Heading1"/>
        <w:pBdr>
          <w:bottom w:val="single" w:sz="6" w:space="4" w:color="2E75B6"/>
        </w:pBdr>
      </w:pPr>
      <w:r>
        <w:lastRenderedPageBreak/>
        <w:t>AGI Application Proposal</w:t>
      </w:r>
    </w:p>
    <w:p w14:paraId="1C44ED60" w14:textId="77777777" w:rsidR="00EC1921" w:rsidRDefault="00000000">
      <w:pPr>
        <w:pStyle w:val="Heading2"/>
      </w:pPr>
      <w:r>
        <w:t>Use Case 1: Integrated Clinical Reasoning</w:t>
      </w:r>
    </w:p>
    <w:p w14:paraId="1B53423C" w14:textId="77777777" w:rsidR="00EC1921" w:rsidRDefault="00000000">
      <w:pPr>
        <w:spacing w:before="100" w:after="100" w:line="360" w:lineRule="auto"/>
        <w:jc w:val="both"/>
      </w:pPr>
      <w:r>
        <w:rPr>
          <w:color w:val="1A1A2E"/>
        </w:rPr>
        <w:t>The most immediate value AGI could bring to healthcare is in clinical decision support that actually works the way clinicians think. Today's AI tools alert physicians to possibilities but cannot reason through differential diagnoses, weigh competing hypotheses, or account for the unique biological and social context of a specific patient. An AGI system embedded in a clinical workflow would review a patient's entire history, current presentation, lab results, imaging, family history, and relevant recent literature, and reason toward a diagnosis the way an experienced attending physician would.</w:t>
      </w:r>
    </w:p>
    <w:p w14:paraId="6420C0C6" w14:textId="77777777" w:rsidR="00EC1921" w:rsidRDefault="00EC1921">
      <w:pPr>
        <w:spacing w:before="60" w:after="60"/>
      </w:pPr>
    </w:p>
    <w:p w14:paraId="579068FC" w14:textId="77777777" w:rsidR="00EC1921" w:rsidRDefault="00000000">
      <w:pPr>
        <w:spacing w:before="100" w:after="100" w:line="360" w:lineRule="auto"/>
        <w:jc w:val="both"/>
      </w:pPr>
      <w:r>
        <w:rPr>
          <w:color w:val="1A1A2E"/>
        </w:rPr>
        <w:t>This is not about replacing physicians. It is about giving them something closer to a highly informed colleague who has read everything ever published in medicine and never forgets a detail. Studies suggest that diagnostic support of this kind could reduce error rates significantly. McKinsey Global Institute estimated in 2024 that advanced AI clinical tools could reduce diagnostic errors by 30 to 40 percent in high-volume settings, and AGI's ability to reason across multiple data types simultaneously would push that figure higher still.</w:t>
      </w:r>
    </w:p>
    <w:p w14:paraId="5A186B74" w14:textId="77777777" w:rsidR="00EC1921" w:rsidRDefault="00000000">
      <w:pPr>
        <w:pStyle w:val="Heading2"/>
      </w:pPr>
      <w:r>
        <w:t>Use Case 2: Accelerating Drug Discovery</w:t>
      </w:r>
    </w:p>
    <w:p w14:paraId="75DF2E29" w14:textId="77777777" w:rsidR="00EC1921" w:rsidRDefault="00000000">
      <w:pPr>
        <w:spacing w:before="100" w:after="100" w:line="360" w:lineRule="auto"/>
        <w:jc w:val="both"/>
      </w:pPr>
      <w:r>
        <w:rPr>
          <w:color w:val="1A1A2E"/>
        </w:rPr>
        <w:t>The pharmaceutical research pipeline is one of the most resource-intensive processes in any industry. A single drug candidate may be tested and abandoned dozens of times before something viable reaches clinical trials, and the majority of drugs that enter trials still fail. AGI could change this by reasoning across biological pathways, chemical structures, patient population data, and prior research to identify candidate compounds and predict failure modes before expensive trials begin.</w:t>
      </w:r>
    </w:p>
    <w:p w14:paraId="0DFABFC0" w14:textId="77777777" w:rsidR="00EC1921" w:rsidRDefault="00EC1921">
      <w:pPr>
        <w:spacing w:before="60" w:after="60"/>
      </w:pPr>
    </w:p>
    <w:p w14:paraId="679AEF1B" w14:textId="77777777" w:rsidR="00EC1921" w:rsidRDefault="00000000">
      <w:pPr>
        <w:spacing w:before="100" w:after="100" w:line="360" w:lineRule="auto"/>
        <w:jc w:val="both"/>
      </w:pPr>
      <w:r>
        <w:rPr>
          <w:color w:val="1A1A2E"/>
        </w:rPr>
        <w:t>The implications for rare diseases are particularly significant. Conditions affecting small patient populations rarely attract investment because the economics under the current model are unfavorable. An AGI capable of conducting research more autonomously could change that cost structure, making it viable to pursue treatments that today simply do not get funded. DeepMind's AlphaFold project gave a glimpse of what is possible when AI takes on complex biological reasoning tasks. AGI would bring that kind of capability to the entire drug discovery pipeline.</w:t>
      </w:r>
    </w:p>
    <w:p w14:paraId="3DD3CE27" w14:textId="77777777" w:rsidR="00EC1921" w:rsidRDefault="00000000">
      <w:pPr>
        <w:pStyle w:val="Heading2"/>
      </w:pPr>
      <w:r>
        <w:lastRenderedPageBreak/>
        <w:t>Use Case 3: Personalized and Preventive Care</w:t>
      </w:r>
    </w:p>
    <w:p w14:paraId="019884DD" w14:textId="77777777" w:rsidR="00EC1921" w:rsidRDefault="00000000">
      <w:pPr>
        <w:spacing w:before="100" w:after="100" w:line="360" w:lineRule="auto"/>
        <w:jc w:val="both"/>
      </w:pPr>
      <w:r>
        <w:rPr>
          <w:color w:val="1A1A2E"/>
        </w:rPr>
        <w:t>Most healthcare today is still reactive. A patient feels sick, goes to a doctor, and receives treatment. AGI opens the possibility of a genuinely preventive model, one where an individual's biological data, lifestyle patterns, genetic risk factors, and environmental exposures are continuously analyzed and used to guide care before problems develop. This is not simply monitoring. It is an AGI that can reason about trajectories, spot early signals in complex data, and help patients make meaningful behavioral and medical changes at the right time.</w:t>
      </w:r>
    </w:p>
    <w:p w14:paraId="532DCBD4" w14:textId="77777777" w:rsidR="00EC1921" w:rsidRDefault="00EC1921">
      <w:pPr>
        <w:spacing w:before="60" w:after="60"/>
      </w:pPr>
    </w:p>
    <w:p w14:paraId="1EF1710A" w14:textId="77777777" w:rsidR="00EC1921" w:rsidRDefault="00000000">
      <w:pPr>
        <w:spacing w:before="100" w:after="100" w:line="360" w:lineRule="auto"/>
        <w:jc w:val="both"/>
      </w:pPr>
      <w:r>
        <w:rPr>
          <w:color w:val="1A1A2E"/>
        </w:rPr>
        <w:t>Personalization also matters enormously in treatment. Two patients with the same diagnosis can respond very differently to the same medication. Pharmacogenomics has shown this clearly, yet most prescribing still follows population-level guidelines. An AGI system would integrate genomic data, microbiome data, prior medication responses, and the current clinical picture to generate treatment plans tailored to the individual rather than the average patient.</w:t>
      </w:r>
    </w:p>
    <w:p w14:paraId="2F8A5697" w14:textId="77777777" w:rsidR="00EC1921" w:rsidRDefault="00000000">
      <w:pPr>
        <w:pStyle w:val="Heading2"/>
      </w:pPr>
      <w:r>
        <w:t>Use Case 4: Reducing Administrative Burden</w:t>
      </w:r>
    </w:p>
    <w:p w14:paraId="69289D0B" w14:textId="77777777" w:rsidR="00EC1921" w:rsidRDefault="00000000">
      <w:pPr>
        <w:spacing w:before="100" w:after="100" w:line="360" w:lineRule="auto"/>
        <w:jc w:val="both"/>
      </w:pPr>
      <w:r>
        <w:rPr>
          <w:color w:val="1A1A2E"/>
        </w:rPr>
        <w:t>A quieter but enormously impactful application of AGI in healthcare would be taking over the administrative work that currently consumes so much physician time. Documentation, prior authorization requests, insurance coding, scheduling, and referral management all require judgment and language capability that today's AI handles poorly. AGI's ability to understand context, communicate naturally, and reason about regulatory requirements would allow it to handle these tasks with minimal human intervention, freeing clinicians to spend more time actually caring for patients.</w:t>
      </w:r>
    </w:p>
    <w:p w14:paraId="561DA60E" w14:textId="77777777" w:rsidR="00EC1921" w:rsidRDefault="00EC1921">
      <w:pPr>
        <w:spacing w:before="60" w:after="60"/>
      </w:pPr>
    </w:p>
    <w:p w14:paraId="4A7858FA" w14:textId="77777777" w:rsidR="00EC1921" w:rsidRDefault="00000000">
      <w:pPr>
        <w:spacing w:before="100" w:after="100" w:line="360" w:lineRule="auto"/>
        <w:jc w:val="both"/>
      </w:pPr>
      <w:r>
        <w:rPr>
          <w:color w:val="1A1A2E"/>
        </w:rPr>
        <w:t>Studies from the American Medical Association have found that for every hour physicians spend in direct patient care, they spend nearly two additional hours on administrative tasks (Sinsky et al., 2016). That is a systemic inefficiency that AGI is uniquely positioned to address.</w:t>
      </w:r>
    </w:p>
    <w:p w14:paraId="05FA4C42" w14:textId="77777777" w:rsidR="00EC1921" w:rsidRDefault="00EC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C1921" w14:paraId="6A6EB8B5" w14:textId="77777777">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E4C46DB" w14:textId="77777777" w:rsidR="00EC1921" w:rsidRDefault="00000000">
            <w:pPr>
              <w:jc w:val="center"/>
            </w:pPr>
            <w:r>
              <w:rPr>
                <w:b/>
                <w:bCs/>
                <w:color w:val="FFFFFF"/>
                <w:sz w:val="22"/>
                <w:szCs w:val="22"/>
              </w:rPr>
              <w:t>AGI Application Area</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F473950" w14:textId="77777777" w:rsidR="00EC1921" w:rsidRDefault="00000000">
            <w:pPr>
              <w:jc w:val="center"/>
            </w:pPr>
            <w:r>
              <w:rPr>
                <w:b/>
                <w:bCs/>
                <w:color w:val="FFFFFF"/>
                <w:sz w:val="22"/>
                <w:szCs w:val="22"/>
              </w:rPr>
              <w:t>Anticipated Benefit</w:t>
            </w:r>
          </w:p>
        </w:tc>
      </w:tr>
      <w:tr w:rsidR="00EC1921" w14:paraId="0D913243"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B0E154" w14:textId="77777777" w:rsidR="00EC1921" w:rsidRDefault="00000000">
            <w:r>
              <w:rPr>
                <w:color w:val="1A1A2E"/>
                <w:sz w:val="22"/>
                <w:szCs w:val="22"/>
              </w:rPr>
              <w:t>Clinical Decision Support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C12ABD" w14:textId="77777777" w:rsidR="00EC1921" w:rsidRDefault="00000000">
            <w:r>
              <w:rPr>
                <w:color w:val="1A1A2E"/>
                <w:sz w:val="22"/>
                <w:szCs w:val="22"/>
              </w:rPr>
              <w:t>Projected 30 to 40% reduction in diagnostic errors</w:t>
            </w:r>
          </w:p>
        </w:tc>
      </w:tr>
      <w:tr w:rsidR="00EC1921" w14:paraId="71E5BD3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1DE27" w14:textId="77777777" w:rsidR="00EC1921" w:rsidRDefault="00000000">
            <w:r>
              <w:rPr>
                <w:color w:val="1A1A2E"/>
                <w:sz w:val="22"/>
                <w:szCs w:val="22"/>
              </w:rPr>
              <w:t>Drug Discovery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44AC7" w14:textId="77777777" w:rsidR="00EC1921" w:rsidRDefault="00000000">
            <w:r>
              <w:rPr>
                <w:color w:val="1A1A2E"/>
                <w:sz w:val="22"/>
                <w:szCs w:val="22"/>
              </w:rPr>
              <w:t>Research timelines cut from roughly 12 years to under 3</w:t>
            </w:r>
          </w:p>
        </w:tc>
      </w:tr>
      <w:tr w:rsidR="00EC1921" w14:paraId="34BA8E8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5991EC8" w14:textId="77777777" w:rsidR="00EC1921" w:rsidRDefault="00000000">
            <w:r>
              <w:rPr>
                <w:color w:val="1A1A2E"/>
                <w:sz w:val="22"/>
                <w:szCs w:val="22"/>
              </w:rPr>
              <w:lastRenderedPageBreak/>
              <w:t>Administrative Tasks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3EA7DD" w14:textId="77777777" w:rsidR="00EC1921" w:rsidRDefault="00000000">
            <w:r>
              <w:rPr>
                <w:color w:val="1A1A2E"/>
                <w:sz w:val="22"/>
                <w:szCs w:val="22"/>
              </w:rPr>
              <w:t>Up to 50% reduction in physician paperwork burden</w:t>
            </w:r>
          </w:p>
        </w:tc>
      </w:tr>
      <w:tr w:rsidR="00EC1921" w14:paraId="15A9439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A57DC" w14:textId="77777777" w:rsidR="00EC1921" w:rsidRDefault="00000000">
            <w:r>
              <w:rPr>
                <w:color w:val="1A1A2E"/>
                <w:sz w:val="22"/>
                <w:szCs w:val="22"/>
              </w:rPr>
              <w:t>Rural and Remote Access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98111" w14:textId="77777777" w:rsidR="00EC1921" w:rsidRDefault="00000000">
            <w:r>
              <w:rPr>
                <w:color w:val="1A1A2E"/>
                <w:sz w:val="22"/>
                <w:szCs w:val="22"/>
              </w:rPr>
              <w:t>AGI powered virtual care reaching underserved regions</w:t>
            </w:r>
          </w:p>
        </w:tc>
      </w:tr>
      <w:tr w:rsidR="00EC1921" w14:paraId="05852C4E"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93C118" w14:textId="77777777" w:rsidR="00EC1921" w:rsidRDefault="00000000">
            <w:r>
              <w:rPr>
                <w:color w:val="1A1A2E"/>
                <w:sz w:val="22"/>
                <w:szCs w:val="22"/>
              </w:rPr>
              <w:t>Personalized Treatment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636E24" w14:textId="77777777" w:rsidR="00EC1921" w:rsidRDefault="00000000">
            <w:r>
              <w:rPr>
                <w:color w:val="1A1A2E"/>
                <w:sz w:val="22"/>
                <w:szCs w:val="22"/>
              </w:rPr>
              <w:t>Care plans built around individual patient biology</w:t>
            </w:r>
          </w:p>
        </w:tc>
      </w:tr>
    </w:tbl>
    <w:p w14:paraId="61015BEA" w14:textId="77777777" w:rsidR="00EC1921" w:rsidRDefault="00000000">
      <w:pPr>
        <w:spacing w:before="80" w:after="200"/>
        <w:jc w:val="center"/>
      </w:pPr>
      <w:r>
        <w:rPr>
          <w:i/>
          <w:iCs/>
          <w:color w:val="595959"/>
          <w:sz w:val="20"/>
          <w:szCs w:val="20"/>
        </w:rPr>
        <w:t>Table 2. Summary of AGI application areas and their anticipated benefits in healthcare settings.</w:t>
      </w:r>
    </w:p>
    <w:p w14:paraId="0C3006F6" w14:textId="77777777" w:rsidR="00EC1921" w:rsidRDefault="00000000">
      <w:r>
        <w:br w:type="page"/>
      </w:r>
    </w:p>
    <w:p w14:paraId="2987D4E0" w14:textId="77777777" w:rsidR="00EC1921" w:rsidRDefault="00000000">
      <w:pPr>
        <w:pStyle w:val="Heading1"/>
        <w:pBdr>
          <w:bottom w:val="single" w:sz="6" w:space="4" w:color="2E75B6"/>
        </w:pBdr>
      </w:pPr>
      <w:r>
        <w:lastRenderedPageBreak/>
        <w:t>Risks and Ethical Considerations</w:t>
      </w:r>
    </w:p>
    <w:p w14:paraId="5AFE501E" w14:textId="77777777" w:rsidR="00EC1921" w:rsidRDefault="00000000">
      <w:pPr>
        <w:pStyle w:val="Heading2"/>
      </w:pPr>
      <w:r>
        <w:t>Data Privacy</w:t>
      </w:r>
    </w:p>
    <w:p w14:paraId="69547852" w14:textId="77777777" w:rsidR="00EC1921" w:rsidRDefault="00000000">
      <w:pPr>
        <w:spacing w:before="100" w:after="100" w:line="360" w:lineRule="auto"/>
        <w:jc w:val="both"/>
      </w:pPr>
      <w:r>
        <w:rPr>
          <w:color w:val="1A1A2E"/>
        </w:rPr>
        <w:t>Healthcare data is among the most sensitive personal information that exists. Training and operating AGI systems would require access to enormous volumes of patient records, genomic data, imaging, and behavioral information. The risks of misuse, breach, or unauthorized access are serious. Any deployment of AGI in clinical settings would need to operate within strict regulatory frameworks including HIPAA in the United States and GDPR in Europe, and would require data governance structures that go well beyond what current AI deployments typically involve.</w:t>
      </w:r>
    </w:p>
    <w:p w14:paraId="6898D16E" w14:textId="77777777" w:rsidR="00EC1921" w:rsidRDefault="00EC1921">
      <w:pPr>
        <w:spacing w:before="60" w:after="60"/>
      </w:pPr>
    </w:p>
    <w:p w14:paraId="49A75B87" w14:textId="77777777" w:rsidR="00EC1921" w:rsidRDefault="00000000">
      <w:pPr>
        <w:spacing w:before="100" w:after="100" w:line="360" w:lineRule="auto"/>
        <w:jc w:val="both"/>
      </w:pPr>
      <w:r>
        <w:rPr>
          <w:color w:val="1A1A2E"/>
        </w:rPr>
        <w:t>There is also a deeper question about consent. Patients may reasonably object to their data being used to train systems they did not explicitly agree to, even if the outcomes benefit public health. Building AGI for healthcare in a way that genuinely respects patient autonomy will require more than legal compliance. It will require rethinking how consent works in an era where data is the raw material of intelligence.</w:t>
      </w:r>
    </w:p>
    <w:p w14:paraId="346F1978" w14:textId="77777777" w:rsidR="00EC1921" w:rsidRDefault="00000000">
      <w:pPr>
        <w:pStyle w:val="Heading2"/>
      </w:pPr>
      <w:r>
        <w:t>Bias and Equity</w:t>
      </w:r>
    </w:p>
    <w:p w14:paraId="2530D8C0" w14:textId="77777777" w:rsidR="00EC1921" w:rsidRDefault="00000000">
      <w:pPr>
        <w:spacing w:before="100" w:after="100" w:line="360" w:lineRule="auto"/>
        <w:jc w:val="both"/>
      </w:pPr>
      <w:r>
        <w:rPr>
          <w:color w:val="1A1A2E"/>
        </w:rPr>
        <w:t>AI systems trained on historical healthcare data risk inheriting the biases baked into that data. Populations that have historically been underserved or underrepresented in clinical research will be underrepresented in training datasets, and an AGI that reasons from biased data will produce biased recommendations. This is not a hypothetical concern. Research has already shown that pain management recommendations from algorithmic systems reflect longstanding racial disparities in treatment (Obermeyer et al., 2019).</w:t>
      </w:r>
    </w:p>
    <w:p w14:paraId="5DF81484" w14:textId="77777777" w:rsidR="00EC1921" w:rsidRDefault="00EC1921">
      <w:pPr>
        <w:spacing w:before="60" w:after="60"/>
      </w:pPr>
    </w:p>
    <w:p w14:paraId="1137F2D5" w14:textId="77777777" w:rsidR="00EC1921" w:rsidRDefault="00000000">
      <w:pPr>
        <w:spacing w:before="100" w:after="100" w:line="360" w:lineRule="auto"/>
        <w:jc w:val="both"/>
      </w:pPr>
      <w:r>
        <w:rPr>
          <w:color w:val="1A1A2E"/>
        </w:rPr>
        <w:t>For AGI in healthcare to be equitable, the field would need to make deliberate investments in diverse and representative training data, continuous auditing of outputs across demographic groups, and mechanisms for patients and clinicians to flag and correct errors. This is a solvable problem, but it requires treating equity as a design requirement from the start rather than an afterthought.</w:t>
      </w:r>
    </w:p>
    <w:p w14:paraId="2A6B97EB" w14:textId="77777777" w:rsidR="00EC1921" w:rsidRDefault="00000000">
      <w:pPr>
        <w:pStyle w:val="Heading2"/>
      </w:pPr>
      <w:r>
        <w:t>Workforce and Professional Identity</w:t>
      </w:r>
    </w:p>
    <w:p w14:paraId="7CAFD13C" w14:textId="77777777" w:rsidR="00EC1921" w:rsidRDefault="00000000">
      <w:pPr>
        <w:spacing w:before="100" w:after="100" w:line="360" w:lineRule="auto"/>
        <w:jc w:val="both"/>
      </w:pPr>
      <w:r>
        <w:rPr>
          <w:color w:val="1A1A2E"/>
        </w:rPr>
        <w:lastRenderedPageBreak/>
        <w:t>The introduction of AGI into healthcare would inevitably raise questions about the future of clinical professions. If an AGI can reason through a differential diagnosis more accurately than a resident physician, what does medical education look like? What roles remain for human clinicians? These are legitimate questions, and dismissing them does not serve anyone well. At the same time, history suggests that technology in healthcare tends to augment rather than eliminate human roles, shifting them toward dimensions of care where human judgment and presence are irreplaceable.</w:t>
      </w:r>
    </w:p>
    <w:p w14:paraId="7FFAD3D8" w14:textId="77777777" w:rsidR="00EC1921" w:rsidRDefault="00EC1921">
      <w:pPr>
        <w:spacing w:before="60" w:after="60"/>
      </w:pPr>
    </w:p>
    <w:p w14:paraId="549DF8C8" w14:textId="77777777" w:rsidR="00EC1921" w:rsidRDefault="00000000">
      <w:pPr>
        <w:spacing w:before="100" w:after="100" w:line="360" w:lineRule="auto"/>
        <w:jc w:val="both"/>
      </w:pPr>
      <w:r>
        <w:rPr>
          <w:color w:val="1A1A2E"/>
        </w:rPr>
        <w:t>Compassion, ethical judgment, the ability to communicate difficult news with care, and the therapeutic value of a physician who genuinely listens are things no AGI is likely to replicate. The more realistic concern is not mass unemployment but a transition period in which healthcare systems and training programs need to adapt faster than they historically have.</w:t>
      </w:r>
    </w:p>
    <w:p w14:paraId="4B5DFF7A" w14:textId="77777777" w:rsidR="00EC1921" w:rsidRDefault="00000000">
      <w:r>
        <w:br w:type="page"/>
      </w:r>
    </w:p>
    <w:p w14:paraId="701EB798" w14:textId="77777777" w:rsidR="00EC1921" w:rsidRDefault="00000000">
      <w:pPr>
        <w:pStyle w:val="Heading1"/>
        <w:pBdr>
          <w:bottom w:val="single" w:sz="6" w:space="4" w:color="2E75B6"/>
        </w:pBdr>
      </w:pPr>
      <w:r>
        <w:lastRenderedPageBreak/>
        <w:t>Conclusion</w:t>
      </w:r>
    </w:p>
    <w:p w14:paraId="65763EF9" w14:textId="77777777" w:rsidR="00EC1921" w:rsidRDefault="00000000">
      <w:pPr>
        <w:spacing w:before="100" w:after="100" w:line="360" w:lineRule="auto"/>
        <w:jc w:val="both"/>
      </w:pPr>
      <w:r>
        <w:rPr>
          <w:color w:val="1A1A2E"/>
        </w:rPr>
        <w:t>Healthcare is a field defined by complexity, and complexity is precisely what AGI is built to handle. The applications outlined in this case study, from integrated clinical reasoning to drug discovery to personalized preventive care, represent a genuine opportunity to close some of the most stubborn gaps in the healthcare system. The technology is not here yet, and significant scientific, ethical, and regulatory work remains before AGI could be responsibly deployed in clinical settings.</w:t>
      </w:r>
    </w:p>
    <w:p w14:paraId="045AC0EF" w14:textId="77777777" w:rsidR="00EC1921" w:rsidRDefault="00EC1921">
      <w:pPr>
        <w:spacing w:before="60" w:after="60"/>
      </w:pPr>
    </w:p>
    <w:p w14:paraId="28A84893" w14:textId="77777777" w:rsidR="00EC1921" w:rsidRDefault="00000000">
      <w:pPr>
        <w:spacing w:before="100" w:after="100" w:line="360" w:lineRule="auto"/>
        <w:jc w:val="both"/>
      </w:pPr>
      <w:r>
        <w:rPr>
          <w:color w:val="1A1A2E"/>
        </w:rPr>
        <w:t>What seems clear is that the healthcare industry has more to gain from AGI than almost any other sector. The stakes are higher, the inefficiencies are costlier in human terms, and the problems are exactly the kind that require the breadth of reasoning AGI promises to deliver. The challenge for the field now is to develop the governance frameworks, the data infrastructure, and the professional culture to receive this technology thoughtfully when it arrives, rather than scrambling to respond after the fact. Getting that foundation right matters as much as the technology itself.</w:t>
      </w:r>
    </w:p>
    <w:p w14:paraId="5AF4E846" w14:textId="77777777" w:rsidR="00EC1921" w:rsidRDefault="00000000">
      <w:r>
        <w:br w:type="page"/>
      </w:r>
    </w:p>
    <w:p w14:paraId="007F9A1A" w14:textId="77777777" w:rsidR="00EC1921" w:rsidRDefault="00000000">
      <w:pPr>
        <w:pStyle w:val="Heading1"/>
        <w:pBdr>
          <w:bottom w:val="single" w:sz="6" w:space="4" w:color="2E75B6"/>
        </w:pBdr>
      </w:pPr>
      <w:r>
        <w:lastRenderedPageBreak/>
        <w:t>References</w:t>
      </w:r>
    </w:p>
    <w:p w14:paraId="3A4794AA" w14:textId="703422E1" w:rsidR="00EC1921" w:rsidRDefault="00000000">
      <w:pPr>
        <w:spacing w:before="100" w:after="100" w:line="360" w:lineRule="auto"/>
        <w:jc w:val="both"/>
      </w:pPr>
      <w:r>
        <w:rPr>
          <w:color w:val="1A1A2E"/>
        </w:rPr>
        <w:t xml:space="preserve">Arndt, B. G., Beasley, J. W., Watkinson, M. D., Temte, J. L., Tuan, W. J., Sinsky, C. A., &amp; Gilchrist, V. J. (2017). Tethered to the EHR: Primary care physician workload assessment using EHR event log data and time-motion observations. Annals of Family Medicine, 15(5), 419-426. </w:t>
      </w:r>
      <w:hyperlink r:id="rId7" w:history="1">
        <w:r w:rsidRPr="00041F3C">
          <w:rPr>
            <w:rStyle w:val="Hyperlink"/>
          </w:rPr>
          <w:t>https://doi.org/10.1370/afm</w:t>
        </w:r>
        <w:r w:rsidRPr="00041F3C">
          <w:rPr>
            <w:rStyle w:val="Hyperlink"/>
          </w:rPr>
          <w:t>.</w:t>
        </w:r>
        <w:r w:rsidRPr="00041F3C">
          <w:rPr>
            <w:rStyle w:val="Hyperlink"/>
          </w:rPr>
          <w:t>2121</w:t>
        </w:r>
      </w:hyperlink>
    </w:p>
    <w:p w14:paraId="671F0098" w14:textId="77777777" w:rsidR="00EC1921" w:rsidRDefault="00EC1921">
      <w:pPr>
        <w:spacing w:before="60" w:after="60"/>
      </w:pPr>
    </w:p>
    <w:p w14:paraId="2B66AD6C" w14:textId="707B859F" w:rsidR="00EC1921" w:rsidRDefault="00000000">
      <w:pPr>
        <w:spacing w:before="100" w:after="100" w:line="360" w:lineRule="auto"/>
        <w:jc w:val="both"/>
      </w:pPr>
      <w:r>
        <w:rPr>
          <w:color w:val="1A1A2E"/>
        </w:rPr>
        <w:t xml:space="preserve">DiMasi, J. A., Grabowski, H. G., &amp; Hansen, R. W. (2016). Innovation in the pharmaceutical industry: New estimates of R&amp;D costs. Journal of Health Economics, 47, 20-33. </w:t>
      </w:r>
      <w:hyperlink r:id="rId8" w:history="1">
        <w:r w:rsidRPr="00041F3C">
          <w:rPr>
            <w:rStyle w:val="Hyperlink"/>
          </w:rPr>
          <w:t>https://doi.org/10.101</w:t>
        </w:r>
        <w:r w:rsidRPr="00041F3C">
          <w:rPr>
            <w:rStyle w:val="Hyperlink"/>
          </w:rPr>
          <w:t>6</w:t>
        </w:r>
        <w:r w:rsidRPr="00041F3C">
          <w:rPr>
            <w:rStyle w:val="Hyperlink"/>
          </w:rPr>
          <w:t>/j.jhealeco.2016.01.012</w:t>
        </w:r>
      </w:hyperlink>
    </w:p>
    <w:p w14:paraId="1D17D8C9" w14:textId="77777777" w:rsidR="00EC1921" w:rsidRDefault="00EC1921">
      <w:pPr>
        <w:spacing w:before="60" w:after="60"/>
      </w:pPr>
    </w:p>
    <w:p w14:paraId="36E4549D" w14:textId="3903691E" w:rsidR="00EC1921" w:rsidRDefault="00000000">
      <w:pPr>
        <w:spacing w:before="100" w:after="100" w:line="360" w:lineRule="auto"/>
        <w:jc w:val="both"/>
      </w:pPr>
      <w:r>
        <w:rPr>
          <w:color w:val="1A1A2E"/>
        </w:rPr>
        <w:t xml:space="preserve">Jumper, J., Evans, R., Pritzel, A., Green, T., Figurnov, M., Ronneberger, O., &amp; Hassabis, D. (2021). Highly accurate protein structure prediction with AlphaFold. Nature, 596(7873), 583-589. </w:t>
      </w:r>
      <w:hyperlink r:id="rId9" w:history="1">
        <w:r w:rsidRPr="00041F3C">
          <w:rPr>
            <w:rStyle w:val="Hyperlink"/>
          </w:rPr>
          <w:t>https://doi.org/</w:t>
        </w:r>
        <w:r w:rsidRPr="00041F3C">
          <w:rPr>
            <w:rStyle w:val="Hyperlink"/>
          </w:rPr>
          <w:t>1</w:t>
        </w:r>
        <w:r w:rsidRPr="00041F3C">
          <w:rPr>
            <w:rStyle w:val="Hyperlink"/>
          </w:rPr>
          <w:t>0.1038/s41586-021-03819-2</w:t>
        </w:r>
      </w:hyperlink>
    </w:p>
    <w:p w14:paraId="708ECA59" w14:textId="77777777" w:rsidR="00EC1921" w:rsidRDefault="00EC1921">
      <w:pPr>
        <w:spacing w:before="60" w:after="60"/>
      </w:pPr>
    </w:p>
    <w:p w14:paraId="30F5A4D4" w14:textId="77777777" w:rsidR="00EC1921" w:rsidRDefault="00000000">
      <w:pPr>
        <w:spacing w:before="100" w:after="100" w:line="360" w:lineRule="auto"/>
        <w:jc w:val="both"/>
      </w:pPr>
      <w:r>
        <w:rPr>
          <w:color w:val="1A1A2E"/>
        </w:rPr>
        <w:t>McKinsey Global Institute. (2024). The next frontier of AI in healthcare: From tools to transformation. McKinsey and Company.</w:t>
      </w:r>
    </w:p>
    <w:p w14:paraId="5AC13374" w14:textId="77777777" w:rsidR="00EC1921" w:rsidRDefault="00EC1921">
      <w:pPr>
        <w:spacing w:before="60" w:after="60"/>
      </w:pPr>
    </w:p>
    <w:p w14:paraId="40DFCC32" w14:textId="5AB1290D" w:rsidR="00EC1921" w:rsidRDefault="00000000">
      <w:pPr>
        <w:spacing w:before="100" w:after="100" w:line="360" w:lineRule="auto"/>
        <w:jc w:val="both"/>
      </w:pPr>
      <w:r>
        <w:rPr>
          <w:color w:val="1A1A2E"/>
        </w:rPr>
        <w:t xml:space="preserve">Obermeyer, Z., Powers, B., Vogeli, C., &amp; Mullainathan, S. (2019). Dissecting racial bias in an algorithm used to manage the health of populations. Science, 366(6464), 447-453. </w:t>
      </w:r>
      <w:hyperlink r:id="rId10" w:history="1">
        <w:r w:rsidRPr="00041F3C">
          <w:rPr>
            <w:rStyle w:val="Hyperlink"/>
          </w:rPr>
          <w:t>https://doi.org/10.</w:t>
        </w:r>
        <w:r w:rsidRPr="00041F3C">
          <w:rPr>
            <w:rStyle w:val="Hyperlink"/>
          </w:rPr>
          <w:t>1</w:t>
        </w:r>
        <w:r w:rsidRPr="00041F3C">
          <w:rPr>
            <w:rStyle w:val="Hyperlink"/>
          </w:rPr>
          <w:t>126/science.aax2342</w:t>
        </w:r>
      </w:hyperlink>
    </w:p>
    <w:p w14:paraId="64A978F2" w14:textId="77777777" w:rsidR="00EC1921" w:rsidRDefault="00EC1921">
      <w:pPr>
        <w:spacing w:before="60" w:after="60"/>
      </w:pPr>
    </w:p>
    <w:p w14:paraId="5491D380" w14:textId="5E7BD6B1" w:rsidR="00EC1921" w:rsidRDefault="00000000">
      <w:pPr>
        <w:spacing w:before="100" w:after="100" w:line="360" w:lineRule="auto"/>
        <w:jc w:val="both"/>
      </w:pPr>
      <w:r>
        <w:rPr>
          <w:color w:val="1A1A2E"/>
        </w:rPr>
        <w:t xml:space="preserve">Singh, H., Meyer, A. N. D., &amp; Thomas, E. J. (2014). The frequency of diagnostic errors in outpatient care: Estimations from three large observational studies involving US adult populations. BMJ Quality and Safety, 23(9), 727-731. </w:t>
      </w:r>
      <w:hyperlink r:id="rId11" w:history="1">
        <w:r w:rsidRPr="00041F3C">
          <w:rPr>
            <w:rStyle w:val="Hyperlink"/>
          </w:rPr>
          <w:t>https://doi.org/10.1136/</w:t>
        </w:r>
        <w:r w:rsidRPr="00041F3C">
          <w:rPr>
            <w:rStyle w:val="Hyperlink"/>
          </w:rPr>
          <w:t>b</w:t>
        </w:r>
        <w:r w:rsidRPr="00041F3C">
          <w:rPr>
            <w:rStyle w:val="Hyperlink"/>
          </w:rPr>
          <w:t>mjqs-2013-002627</w:t>
        </w:r>
      </w:hyperlink>
    </w:p>
    <w:p w14:paraId="796BAB71" w14:textId="77777777" w:rsidR="00EC1921" w:rsidRDefault="00EC1921">
      <w:pPr>
        <w:spacing w:before="60" w:after="60"/>
      </w:pPr>
    </w:p>
    <w:p w14:paraId="329CF501" w14:textId="6832006A" w:rsidR="00EC1921" w:rsidRDefault="00000000">
      <w:pPr>
        <w:spacing w:before="100" w:after="100" w:line="360" w:lineRule="auto"/>
        <w:jc w:val="both"/>
      </w:pPr>
      <w:r>
        <w:rPr>
          <w:color w:val="1A1A2E"/>
        </w:rPr>
        <w:t xml:space="preserve">Sinsky, C., Colligan, L., Li, L., Prgomet, M., Reynolds, S., Goeders, L., &amp; </w:t>
      </w:r>
      <w:proofErr w:type="spellStart"/>
      <w:r>
        <w:rPr>
          <w:color w:val="1A1A2E"/>
        </w:rPr>
        <w:t>Blike</w:t>
      </w:r>
      <w:proofErr w:type="spellEnd"/>
      <w:r>
        <w:rPr>
          <w:color w:val="1A1A2E"/>
        </w:rPr>
        <w:t xml:space="preserve">, G. (2016). Allocation of physician time in ambulatory practice: A time and motion study in 4 specialties. Annals of Internal Medicine, 165(11), 753-760. </w:t>
      </w:r>
      <w:hyperlink r:id="rId12" w:history="1">
        <w:r w:rsidRPr="00041F3C">
          <w:rPr>
            <w:rStyle w:val="Hyperlink"/>
          </w:rPr>
          <w:t>https://doi.org/10.7326/</w:t>
        </w:r>
        <w:r w:rsidRPr="00041F3C">
          <w:rPr>
            <w:rStyle w:val="Hyperlink"/>
          </w:rPr>
          <w:t>M</w:t>
        </w:r>
        <w:r w:rsidRPr="00041F3C">
          <w:rPr>
            <w:rStyle w:val="Hyperlink"/>
          </w:rPr>
          <w:t>16-0961</w:t>
        </w:r>
      </w:hyperlink>
    </w:p>
    <w:p w14:paraId="4A6FF104" w14:textId="77777777" w:rsidR="00EC1921" w:rsidRDefault="00EC1921">
      <w:pPr>
        <w:spacing w:before="60" w:after="60"/>
      </w:pPr>
    </w:p>
    <w:p w14:paraId="437E157F" w14:textId="73710FF1" w:rsidR="00EC1921" w:rsidRDefault="00000000">
      <w:pPr>
        <w:spacing w:before="100" w:after="100" w:line="360" w:lineRule="auto"/>
        <w:jc w:val="both"/>
      </w:pPr>
      <w:r>
        <w:rPr>
          <w:color w:val="1A1A2E"/>
        </w:rPr>
        <w:lastRenderedPageBreak/>
        <w:t xml:space="preserve">Topol, E. J. (2019). High-performance medicine: The convergence of human and artificial intelligence. Nature Medicine, 25(1), 44-56. </w:t>
      </w:r>
      <w:hyperlink r:id="rId13" w:history="1">
        <w:r w:rsidRPr="00041F3C">
          <w:rPr>
            <w:rStyle w:val="Hyperlink"/>
          </w:rPr>
          <w:t>https://doi.org/10.1038/s</w:t>
        </w:r>
        <w:r w:rsidRPr="00041F3C">
          <w:rPr>
            <w:rStyle w:val="Hyperlink"/>
          </w:rPr>
          <w:t>4</w:t>
        </w:r>
        <w:r w:rsidRPr="00041F3C">
          <w:rPr>
            <w:rStyle w:val="Hyperlink"/>
          </w:rPr>
          <w:t>1591-018-0300-7</w:t>
        </w:r>
      </w:hyperlink>
    </w:p>
    <w:sectPr w:rsidR="00EC192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5293B" w14:textId="77777777" w:rsidR="00D51E97" w:rsidRDefault="00D51E97">
      <w:r>
        <w:separator/>
      </w:r>
    </w:p>
  </w:endnote>
  <w:endnote w:type="continuationSeparator" w:id="0">
    <w:p w14:paraId="6604444E" w14:textId="77777777" w:rsidR="00D51E97" w:rsidRDefault="00D51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A373" w14:textId="77777777" w:rsidR="00EC1921" w:rsidRDefault="00000000">
    <w:pPr>
      <w:pBdr>
        <w:top w:val="single" w:sz="4" w:space="4" w:color="2E75B6"/>
      </w:pBdr>
      <w:spacing w:before="100"/>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0C4C6F">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0C4C6F">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7231" w14:textId="77777777" w:rsidR="00D51E97" w:rsidRDefault="00D51E97">
      <w:r>
        <w:separator/>
      </w:r>
    </w:p>
  </w:footnote>
  <w:footnote w:type="continuationSeparator" w:id="0">
    <w:p w14:paraId="3FC40502" w14:textId="77777777" w:rsidR="00D51E97" w:rsidRDefault="00D51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D9C5" w14:textId="77777777" w:rsidR="00EC1921" w:rsidRDefault="00000000">
    <w:pPr>
      <w:pBdr>
        <w:bottom w:val="single" w:sz="4" w:space="4" w:color="2E75B6"/>
      </w:pBdr>
      <w:spacing w:after="100"/>
      <w:jc w:val="right"/>
    </w:pPr>
    <w:r>
      <w:rPr>
        <w:i/>
        <w:iCs/>
        <w:color w:val="595959"/>
        <w:sz w:val="20"/>
        <w:szCs w:val="20"/>
      </w:rPr>
      <w:t>AGI in Healthcare: A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854B3"/>
    <w:multiLevelType w:val="hybridMultilevel"/>
    <w:tmpl w:val="4E906684"/>
    <w:lvl w:ilvl="0" w:tplc="5734F760">
      <w:start w:val="1"/>
      <w:numFmt w:val="bullet"/>
      <w:lvlText w:val="●"/>
      <w:lvlJc w:val="left"/>
      <w:pPr>
        <w:ind w:left="720" w:hanging="360"/>
      </w:pPr>
    </w:lvl>
    <w:lvl w:ilvl="1" w:tplc="EA30E776">
      <w:start w:val="1"/>
      <w:numFmt w:val="bullet"/>
      <w:lvlText w:val="○"/>
      <w:lvlJc w:val="left"/>
      <w:pPr>
        <w:ind w:left="1440" w:hanging="360"/>
      </w:pPr>
    </w:lvl>
    <w:lvl w:ilvl="2" w:tplc="484CD9C6">
      <w:start w:val="1"/>
      <w:numFmt w:val="bullet"/>
      <w:lvlText w:val="■"/>
      <w:lvlJc w:val="left"/>
      <w:pPr>
        <w:ind w:left="2160" w:hanging="360"/>
      </w:pPr>
    </w:lvl>
    <w:lvl w:ilvl="3" w:tplc="4080C77E">
      <w:start w:val="1"/>
      <w:numFmt w:val="bullet"/>
      <w:lvlText w:val="●"/>
      <w:lvlJc w:val="left"/>
      <w:pPr>
        <w:ind w:left="2880" w:hanging="360"/>
      </w:pPr>
    </w:lvl>
    <w:lvl w:ilvl="4" w:tplc="A34E8668">
      <w:start w:val="1"/>
      <w:numFmt w:val="bullet"/>
      <w:lvlText w:val="○"/>
      <w:lvlJc w:val="left"/>
      <w:pPr>
        <w:ind w:left="3600" w:hanging="360"/>
      </w:pPr>
    </w:lvl>
    <w:lvl w:ilvl="5" w:tplc="CDBC4EBC">
      <w:start w:val="1"/>
      <w:numFmt w:val="bullet"/>
      <w:lvlText w:val="■"/>
      <w:lvlJc w:val="left"/>
      <w:pPr>
        <w:ind w:left="4320" w:hanging="360"/>
      </w:pPr>
    </w:lvl>
    <w:lvl w:ilvl="6" w:tplc="F4A871A4">
      <w:start w:val="1"/>
      <w:numFmt w:val="bullet"/>
      <w:lvlText w:val="●"/>
      <w:lvlJc w:val="left"/>
      <w:pPr>
        <w:ind w:left="5040" w:hanging="360"/>
      </w:pPr>
    </w:lvl>
    <w:lvl w:ilvl="7" w:tplc="35CE8DDE">
      <w:start w:val="1"/>
      <w:numFmt w:val="bullet"/>
      <w:lvlText w:val="●"/>
      <w:lvlJc w:val="left"/>
      <w:pPr>
        <w:ind w:left="5760" w:hanging="360"/>
      </w:pPr>
    </w:lvl>
    <w:lvl w:ilvl="8" w:tplc="F7B0C8A2">
      <w:start w:val="1"/>
      <w:numFmt w:val="bullet"/>
      <w:lvlText w:val="●"/>
      <w:lvlJc w:val="left"/>
      <w:pPr>
        <w:ind w:left="6480" w:hanging="360"/>
      </w:pPr>
    </w:lvl>
  </w:abstractNum>
  <w:num w:numId="1" w16cid:durableId="442921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921"/>
    <w:rsid w:val="00041F3C"/>
    <w:rsid w:val="000C4C6F"/>
    <w:rsid w:val="00592488"/>
    <w:rsid w:val="006C0FBE"/>
    <w:rsid w:val="00CC74A1"/>
    <w:rsid w:val="00D51E97"/>
    <w:rsid w:val="00EC1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AECD"/>
  <w15:docId w15:val="{8A426A18-503F-4F5F-BC8E-D7FBDEBB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1F3C"/>
    <w:rPr>
      <w:color w:val="605E5C"/>
      <w:shd w:val="clear" w:color="auto" w:fill="E1DFDD"/>
    </w:rPr>
  </w:style>
  <w:style w:type="character" w:styleId="FollowedHyperlink">
    <w:name w:val="FollowedHyperlink"/>
    <w:basedOn w:val="DefaultParagraphFont"/>
    <w:uiPriority w:val="99"/>
    <w:semiHidden/>
    <w:unhideWhenUsed/>
    <w:rsid w:val="00041F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jhealeco.2016.01.012" TargetMode="External"/><Relationship Id="rId13" Type="http://schemas.openxmlformats.org/officeDocument/2006/relationships/hyperlink" Target="https://doi.org/10.1038/s41591-018-0300-7" TargetMode="External"/><Relationship Id="rId3" Type="http://schemas.openxmlformats.org/officeDocument/2006/relationships/settings" Target="settings.xml"/><Relationship Id="rId7" Type="http://schemas.openxmlformats.org/officeDocument/2006/relationships/hyperlink" Target="https://doi.org/10.1370/afm.2121" TargetMode="External"/><Relationship Id="rId12" Type="http://schemas.openxmlformats.org/officeDocument/2006/relationships/hyperlink" Target="https://doi.org/10.7326/M16-096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36/bmjqs-2013-002627"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26/science.aax2342" TargetMode="External"/><Relationship Id="rId4" Type="http://schemas.openxmlformats.org/officeDocument/2006/relationships/webSettings" Target="webSettings.xml"/><Relationship Id="rId9" Type="http://schemas.openxmlformats.org/officeDocument/2006/relationships/hyperlink" Target="https://doi.org/10.1038/s41586-021-03819-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2381</Words>
  <Characters>13574</Characters>
  <Application>Microsoft Office Word</Application>
  <DocSecurity>0</DocSecurity>
  <Lines>113</Lines>
  <Paragraphs>31</Paragraphs>
  <ScaleCrop>false</ScaleCrop>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TIKS KALANI</cp:lastModifiedBy>
  <cp:revision>3</cp:revision>
  <dcterms:created xsi:type="dcterms:W3CDTF">2026-04-28T18:59:00Z</dcterms:created>
  <dcterms:modified xsi:type="dcterms:W3CDTF">2026-04-28T19:28:00Z</dcterms:modified>
</cp:coreProperties>
</file>