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Literature review — MindWeave-R</w:t>
      </w:r>
    </w:p>
    <w:p>
      <w:r>
        <w:rPr/>
        <w:t xml:space="preserve">Working document for the IEEE paper draft. Twenty-five references, grouped into five themes, each entry stating what the work establishes, what it does </w:t>
      </w:r>
      <w:r>
        <w:rPr>
          <w:b/>
        </w:rPr>
        <w:t>not</w:t>
      </w:r>
      <w:r>
        <w:rPr/>
        <w:t xml:space="preserve"> do, and what role it plays in our argument.</w:t>
      </w:r>
    </w:p>
    <w:p>
      <w:r>
        <w:rPr>
          <w:b/>
        </w:rPr>
        <w:t>Search method.</w:t>
      </w:r>
      <w:r>
        <w:rPr/>
        <w:t xml:space="preserve"> Records were checked against publisher pages, DOI records, DBLP, ACL Anthology, arXiv and institutional repositories. Every entry below was confirmed on at least one readable record page; nothing here was reconstructed from memory or from a search snippet alone. Two entries carry a flagged metadata discrepancy (see §6) — fix these before submission.</w:t>
      </w:r>
    </w:p>
    <w:p>
      <w:r>
        <w:rPr>
          <w:b/>
        </w:rPr>
        <w:t>Inclusion criteria.</w:t>
      </w:r>
      <w:r>
        <w:rPr/>
        <w:t xml:space="preserve"> (i) Peer-reviewed venue, or a widely cited systems report with a stable arXiv identifier; (ii) relevance to at least one of: workflow orchestration, data-contract validation, agent reliability, automated repair, auditability; (iii) 1999–2025, with older work admitted only when it is the canonical reference for a mechanism we build on.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1. Workflow orchestration and fault tolerance</w:t>
      </w:r>
    </w:p>
    <w:p>
      <w:r>
        <w:rPr>
          <w:b/>
        </w:rPr>
        <w:t>[deelman]</w:t>
      </w:r>
      <w:r>
        <w:rPr/>
        <w:t xml:space="preserve"> E. Deelman, K. Vahi, M. Rynge, R. Mayani, R. Ferreira da Silva, G. Papadimitriou, and M. Livny, "The evolution of the Pegasus workflow management software," </w:t>
      </w:r>
      <w:r>
        <w:rPr>
          <w:i/>
        </w:rPr>
        <w:t>Computing in Science &amp; Engineering</w:t>
      </w:r>
      <w:r>
        <w:rPr/>
        <w:t>, vol. 21, no. 4, pp. 22–36, 2019. DOI: 10.1109/MCSE.2019.2919690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separating workflow description from execution; mapping an abstract DAG onto heterogeneous execution environments; two decades of production use.</w:t>
      </w:r>
    </w:p>
    <w:p>
      <w:pPr>
        <w:pStyle w:val="ListBullet"/>
      </w:pPr>
      <w:r>
        <w:rPr>
          <w:i/>
        </w:rPr>
        <w:t>Does not:</w:t>
      </w:r>
      <w:r>
        <w:rPr/>
        <w:t xml:space="preserve"> constrain the semantic content of the data crossing a dependency.</w:t>
      </w:r>
    </w:p>
    <w:p>
      <w:pPr>
        <w:pStyle w:val="ListBullet"/>
      </w:pPr>
      <w:r>
        <w:rPr>
          <w:i/>
        </w:rPr>
        <w:t>Role:</w:t>
      </w:r>
      <w:r>
        <w:rPr/>
        <w:t xml:space="preserve"> canonical evidence that DAG orchestration is mature infrastructure, so our contribution must be about </w:t>
      </w:r>
      <w:r>
        <w:rPr>
          <w:b/>
        </w:rPr>
        <w:t>what flows on the edges</w:t>
      </w:r>
      <w:r>
        <w:rPr/>
        <w:t>, not about scheduling.</w:t>
      </w:r>
    </w:p>
    <w:p>
      <w:r>
        <w:rPr>
          <w:b/>
        </w:rPr>
        <w:t>[li2021]</w:t>
      </w:r>
      <w:r>
        <w:rPr/>
        <w:t xml:space="preserve"> Z. Li, V. Chang, H. Hu, H. Hu, C. Li, and J. Ge, "Real-time and dynamic fault-tolerant scheduling for scientific workflows in clouds," </w:t>
      </w:r>
      <w:r>
        <w:rPr>
          <w:i/>
        </w:rPr>
        <w:t>Information Sciences</w:t>
      </w:r>
      <w:r>
        <w:rPr/>
        <w:t>, vol. 568, pp. 13–39, 2021. DOI: 10.1016/j.ins.2021.03.003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replication, checkpointing, rescheduling after host failure, and dynamic resource adjustment for workflow tasks.</w:t>
      </w:r>
    </w:p>
    <w:p>
      <w:pPr>
        <w:pStyle w:val="ListBullet"/>
      </w:pPr>
      <w:r>
        <w:rPr>
          <w:i/>
        </w:rPr>
        <w:t>Does not:</w:t>
      </w:r>
      <w:r>
        <w:rPr/>
        <w:t xml:space="preserve"> treat a task that </w:t>
      </w:r>
      <w:r>
        <w:rPr>
          <w:i/>
        </w:rPr>
        <w:t>succeeded</w:t>
      </w:r>
      <w:r>
        <w:rPr/>
        <w:t xml:space="preserve"> but produced unacceptable output as a fault at all.</w:t>
      </w:r>
    </w:p>
    <w:p>
      <w:pPr>
        <w:pStyle w:val="ListBullet"/>
      </w:pPr>
      <w:r>
        <w:rPr>
          <w:i/>
        </w:rPr>
        <w:t>Role:</w:t>
      </w:r>
      <w:r>
        <w:rPr/>
        <w:t xml:space="preserve"> defines the boundary of "fault tolerance" in the systems sense. Our faults are semantic, and they are invisible to this entire literature.</w:t>
      </w:r>
    </w:p>
    <w:p>
      <w:r>
        <w:rPr>
          <w:b/>
        </w:rPr>
        <w:t>[baylor]</w:t>
      </w:r>
      <w:r>
        <w:rPr/>
        <w:t xml:space="preserve"> D. Baylor </w:t>
      </w:r>
      <w:r>
        <w:rPr>
          <w:i/>
        </w:rPr>
        <w:t>et al.</w:t>
      </w:r>
      <w:r>
        <w:rPr/>
        <w:t xml:space="preserve">, "TFX: A TensorFlow-based production-scale machine learning platform," in </w:t>
      </w:r>
      <w:r>
        <w:rPr>
          <w:i/>
        </w:rPr>
        <w:t>Proc. 23rd ACM SIGKDD</w:t>
      </w:r>
      <w:r>
        <w:rPr/>
        <w:t>, 2017, pp. 1387–1395. DOI: 10.1145/3097983.3098021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an end-to-end pipeline architecture (analysis, validation, training, evaluation, serving) at production scale.</w:t>
      </w:r>
    </w:p>
    <w:p>
      <w:pPr>
        <w:pStyle w:val="ListBullet"/>
      </w:pPr>
      <w:r>
        <w:rPr>
          <w:i/>
        </w:rPr>
        <w:t>Does not:</w:t>
      </w:r>
      <w:r>
        <w:rPr/>
        <w:t xml:space="preserve"> decide what to do when validation fails beyond stopping the pipeline.</w:t>
      </w:r>
    </w:p>
    <w:p>
      <w:pPr>
        <w:pStyle w:val="ListBullet"/>
      </w:pPr>
      <w:r>
        <w:rPr>
          <w:i/>
        </w:rPr>
        <w:t>Role:</w:t>
      </w:r>
      <w:r>
        <w:rPr/>
        <w:t xml:space="preserve"> the closest industrial analogue to our architecture; useful for arguing that validation is already accepted practice, while </w:t>
      </w:r>
      <w:r>
        <w:rPr>
          <w:i/>
        </w:rPr>
        <w:t>repair selection</w:t>
      </w:r>
      <w:r>
        <w:rPr/>
        <w:t xml:space="preserve"> is not.</w:t>
      </w:r>
    </w:p>
    <w:p>
      <w:r>
        <w:rPr>
          <w:b/>
        </w:rPr>
        <w:t>Synthesis.</w:t>
      </w:r>
      <w:r>
        <w:rPr/>
        <w:t xml:space="preserve"> This literature solves availability: retry, replicate, reschedule. None of it addresses a step that completed successfully and emitted data that violates a downstream expectation. That is the gap we occupy, and it is why a throughput- or uptime-based evaluation would show no difference between our system and a plain orchestrator.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2. Data validation, contracts and provenance</w:t>
      </w:r>
    </w:p>
    <w:p>
      <w:r>
        <w:rPr>
          <w:b/>
        </w:rPr>
        <w:t>[schelter]</w:t>
      </w:r>
      <w:r>
        <w:rPr/>
        <w:t xml:space="preserve"> S. Schelter, D. Lange, P. Schmidt, M. Celikel, F. Biessmann, and A. Grafberger, "Automating large-scale data quality verification," </w:t>
      </w:r>
      <w:r>
        <w:rPr>
          <w:i/>
        </w:rPr>
        <w:t>Proc. VLDB Endow.</w:t>
      </w:r>
      <w:r>
        <w:rPr/>
        <w:t>, vol. 11, no. 12, pp. 1781–1794, 2018. DOI: 10.14778/3229863.3229867 (Deequ)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declarative, expectation-based constraints computed at scale — "unit tests for data."</w:t>
      </w:r>
    </w:p>
    <w:p>
      <w:pPr>
        <w:pStyle w:val="ListBullet"/>
      </w:pPr>
      <w:r>
        <w:rPr>
          <w:i/>
        </w:rPr>
        <w:t>Does not:</w:t>
      </w:r>
      <w:r>
        <w:rPr/>
        <w:t xml:space="preserve"> propose a repair; it reports violations.</w:t>
      </w:r>
    </w:p>
    <w:p>
      <w:pPr>
        <w:pStyle w:val="ListBullet"/>
      </w:pPr>
      <w:r>
        <w:rPr>
          <w:i/>
        </w:rPr>
        <w:t>Role:</w:t>
      </w:r>
      <w:r>
        <w:rPr/>
        <w:t xml:space="preserve"> supplies the vocabulary our contract fields borrow (completeness, conformance, and threshold-style expectations).</w:t>
      </w:r>
    </w:p>
    <w:p>
      <w:r>
        <w:rPr>
          <w:b/>
        </w:rPr>
        <w:t>[caveness]</w:t>
      </w:r>
      <w:r>
        <w:rPr/>
        <w:t xml:space="preserve"> E. Caveness, P. Suganthan G. C., Z. Peng, N. Polyzotis, S. Roy, and M. Zinkevich, "TensorFlow Data Validation: Data analysis and validation in continuous ML pipelines," in </w:t>
      </w:r>
      <w:r>
        <w:rPr>
          <w:i/>
        </w:rPr>
        <w:t>Proc. ACM SIGMOD</w:t>
      </w:r>
      <w:r>
        <w:rPr/>
        <w:t>, 2020, pp. 2793–2796. DOI: 10.1145/3318464.3384707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schema inference and validation at pipeline boundaries, with skew detection between training and serving data.</w:t>
      </w:r>
    </w:p>
    <w:p>
      <w:pPr>
        <w:pStyle w:val="ListBullet"/>
      </w:pPr>
      <w:r>
        <w:rPr>
          <w:i/>
        </w:rPr>
        <w:t>Does not:</w:t>
      </w:r>
      <w:r>
        <w:rPr/>
        <w:t xml:space="preserve"> model per-connection expectations as first-class configuration, nor couple a violation to a recovery action.</w:t>
      </w:r>
    </w:p>
    <w:p>
      <w:pPr>
        <w:pStyle w:val="ListBullet"/>
      </w:pPr>
      <w:r>
        <w:rPr>
          <w:i/>
        </w:rPr>
        <w:t>Role:</w:t>
      </w:r>
      <w:r>
        <w:rPr/>
        <w:t xml:space="preserve"> anchors the "schema" code in our failure taxonomy.</w:t>
      </w:r>
    </w:p>
    <w:p>
      <w:r>
        <w:rPr>
          <w:b/>
        </w:rPr>
        <w:t>[tu]</w:t>
      </w:r>
      <w:r>
        <w:rPr/>
        <w:t xml:space="preserve"> D. Tu, Y. He, W. Cui, S. Ge, H. Zhang, S. Han, D. Zhang, and S. Chaudhuri, "Auto-Validate by-History: Auto-program data quality constraints to validate recurring data pipelines," in </w:t>
      </w:r>
      <w:r>
        <w:rPr>
          <w:i/>
        </w:rPr>
        <w:t>Proc. 29th ACM SIGKDD</w:t>
      </w:r>
      <w:r>
        <w:rPr/>
        <w:t>, 2023, pp. 4991–5003. DOI: 10.1145/3580305.3599776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learning validation constraints from historical executions of recurring pipelines.</w:t>
      </w:r>
    </w:p>
    <w:p>
      <w:pPr>
        <w:pStyle w:val="ListBullet"/>
      </w:pPr>
      <w:r>
        <w:rPr>
          <w:i/>
        </w:rPr>
        <w:t>Does not:</w:t>
      </w:r>
      <w:r>
        <w:rPr/>
        <w:t xml:space="preserve"> operate per-edge at runtime, nor rank remedies under a budget.</w:t>
      </w:r>
    </w:p>
    <w:p>
      <w:pPr>
        <w:pStyle w:val="ListBullet"/>
      </w:pPr>
      <w:r>
        <w:rPr>
          <w:i/>
        </w:rPr>
        <w:t>Role:</w:t>
      </w:r>
      <w:r>
        <w:rPr/>
        <w:t xml:space="preserve"> the strongest recent argument that constraints should be </w:t>
      </w:r>
      <w:r>
        <w:rPr>
          <w:b/>
        </w:rPr>
        <w:t>generated</w:t>
      </w:r>
      <w:r>
        <w:rPr/>
        <w:t>, which is a natural extension of our hand-authored contracts.</w:t>
      </w:r>
    </w:p>
    <w:p>
      <w:r>
        <w:rPr>
          <w:b/>
        </w:rPr>
        <w:t>[curino]</w:t>
      </w:r>
      <w:r>
        <w:rPr/>
        <w:t xml:space="preserve"> C. A. Curino, H. J. Moon, and C. Zaniolo, "Graceful database schema evolution: the PRISM workbench," </w:t>
      </w:r>
      <w:r>
        <w:rPr>
          <w:i/>
        </w:rPr>
        <w:t>Proc. VLDB Endow.</w:t>
      </w:r>
      <w:r>
        <w:rPr/>
        <w:t>, vol. 1, no. 1, pp. 761–772, 2008. DOI: 10.14778/1453856.1453939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managing schema change, propagating effects, migrating data, preserving legacy queries.</w:t>
      </w:r>
    </w:p>
    <w:p>
      <w:pPr>
        <w:pStyle w:val="ListBullet"/>
      </w:pPr>
      <w:r>
        <w:rPr>
          <w:i/>
        </w:rPr>
        <w:t>Does not:</w:t>
      </w:r>
      <w:r>
        <w:rPr/>
        <w:t xml:space="preserve"> concern itself with agent-to-agent handoffs or runtime repair choice.</w:t>
      </w:r>
    </w:p>
    <w:p>
      <w:pPr>
        <w:pStyle w:val="ListBullet"/>
      </w:pPr>
      <w:r>
        <w:rPr>
          <w:i/>
        </w:rPr>
        <w:t>Role:</w:t>
      </w:r>
      <w:r>
        <w:rPr/>
        <w:t xml:space="preserve"> background for why schema mismatch is a </w:t>
      </w:r>
      <w:r>
        <w:rPr>
          <w:i/>
        </w:rPr>
        <w:t>repairable</w:t>
      </w:r>
      <w:r>
        <w:rPr/>
        <w:t xml:space="preserve"> class of failure rather than a fatal one.</w:t>
      </w:r>
    </w:p>
    <w:p>
      <w:r>
        <w:rPr>
          <w:b/>
        </w:rPr>
        <w:t>[rupprecht]</w:t>
      </w:r>
      <w:r>
        <w:rPr/>
        <w:t xml:space="preserve"> L. Rupprecht, J. C. Davis, C. Arnold, Y. Gur, and D. Bhagwat, "Improving reproducibility of data science pipelines through transparent provenance capture," </w:t>
      </w:r>
      <w:r>
        <w:rPr>
          <w:i/>
        </w:rPr>
        <w:t>Proc. VLDB Endow.</w:t>
      </w:r>
      <w:r>
        <w:rPr/>
        <w:t>, vol. 13, no. 12, pp. 3354–3368, 2020. DOI: 10.14778/3415478.3415556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capturing system- and application-level provenance transparently enough to reproduce a pipeline run.</w:t>
      </w:r>
    </w:p>
    <w:p>
      <w:pPr>
        <w:pStyle w:val="ListBullet"/>
      </w:pPr>
      <w:r>
        <w:rPr>
          <w:i/>
        </w:rPr>
        <w:t>Does not:</w:t>
      </w:r>
      <w:r>
        <w:rPr/>
        <w:t xml:space="preserve"> use provenance as an </w:t>
      </w:r>
      <w:r>
        <w:rPr>
          <w:i/>
        </w:rPr>
        <w:t>executable precondition</w:t>
      </w:r>
      <w:r>
        <w:rPr/>
        <w:t xml:space="preserve"> on an edge.</w:t>
      </w:r>
    </w:p>
    <w:p>
      <w:pPr>
        <w:pStyle w:val="ListBullet"/>
      </w:pPr>
      <w:r>
        <w:rPr>
          <w:i/>
        </w:rPr>
        <w:t>Role:</w:t>
      </w:r>
      <w:r>
        <w:rPr/>
        <w:t xml:space="preserve"> the closest prior work to our </w:t>
      </w:r>
      <w:r>
        <w:rPr>
          <w:rFonts w:ascii="Courier New" w:hAnsi="Courier New"/>
        </w:rPr>
        <w:t>provenance_required</w:t>
      </w:r>
      <w:r>
        <w:rPr/>
        <w:t xml:space="preserve"> contract field; our use is narrower (presence and lineage propagation, not full reproducibility).</w:t>
      </w:r>
    </w:p>
    <w:p>
      <w:r>
        <w:rPr>
          <w:b/>
        </w:rPr>
        <w:t>Synthesis.</w:t>
      </w:r>
      <w:r>
        <w:rPr/>
        <w:t xml:space="preserve"> Validation is well studied and increasingly automated, but the literature treats a violation as a terminal event: log it, alert, halt. The decision </w:t>
      </w:r>
      <w:r>
        <w:rPr>
          <w:i/>
        </w:rPr>
        <w:t>what to do next</w:t>
      </w:r>
      <w:r>
        <w:rPr/>
        <w:t xml:space="preserve"> is left to a human or to a retry. Enforcement is also a deployment policy rather than a specified decision procedure. We make the post-detection decision explicit, budgeted, and recorded.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3. Reliability of LLM-based agents and multi-agent systems</w:t>
      </w:r>
    </w:p>
    <w:p>
      <w:r>
        <w:rPr>
          <w:b/>
        </w:rPr>
        <w:t>[yao]</w:t>
      </w:r>
      <w:r>
        <w:rPr/>
        <w:t xml:space="preserve"> S. Yao, J. Zhao, D. Yu, N. Du, I. Shafran, K. Narasimhan, and Y. Cao, "ReAct: Synergizing reasoning and acting in language models," in </w:t>
      </w:r>
      <w:r>
        <w:rPr>
          <w:i/>
        </w:rPr>
        <w:t>Proc. ICLR</w:t>
      </w:r>
      <w:r>
        <w:rPr/>
        <w:t>, 2023. arXiv:2210.03629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the interleaved reason-act-observe loop that underlies most agent frameworks.</w:t>
      </w:r>
    </w:p>
    <w:p>
      <w:pPr>
        <w:pStyle w:val="ListBullet"/>
      </w:pPr>
      <w:r>
        <w:rPr>
          <w:i/>
        </w:rPr>
        <w:t>Does not:</w:t>
      </w:r>
      <w:r>
        <w:rPr/>
        <w:t xml:space="preserve"> coordinate several agents or check handoffs.</w:t>
      </w:r>
    </w:p>
    <w:p>
      <w:pPr>
        <w:pStyle w:val="ListBullet"/>
      </w:pPr>
      <w:r>
        <w:rPr>
          <w:i/>
        </w:rPr>
        <w:t>Role:</w:t>
      </w:r>
      <w:r>
        <w:rPr/>
        <w:t xml:space="preserve"> defines the unit our nodes wrap.</w:t>
      </w:r>
    </w:p>
    <w:p>
      <w:r>
        <w:rPr>
          <w:b/>
        </w:rPr>
        <w:t>[wu]</w:t>
      </w:r>
      <w:r>
        <w:rPr/>
        <w:t xml:space="preserve"> Q. Wu, G. Bansal, J. Zhang, </w:t>
      </w:r>
      <w:r>
        <w:rPr>
          <w:i/>
        </w:rPr>
        <w:t>et al.</w:t>
      </w:r>
      <w:r>
        <w:rPr/>
        <w:t>, "AutoGen: Enabling next-gen LLM applications via multi-agent conversation," arXiv:2308.08155, 2023.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customizable conversable agents and reusable conversation patterns as an orchestration primitive.</w:t>
      </w:r>
    </w:p>
    <w:p>
      <w:pPr>
        <w:pStyle w:val="ListBullet"/>
      </w:pPr>
      <w:r>
        <w:rPr>
          <w:i/>
        </w:rPr>
        <w:t>Does not:</w:t>
      </w:r>
      <w:r>
        <w:rPr/>
        <w:t xml:space="preserve"> impose schemas, budgets, or post-hoc verification on messages.</w:t>
      </w:r>
    </w:p>
    <w:p>
      <w:pPr>
        <w:pStyle w:val="ListBullet"/>
      </w:pPr>
      <w:r>
        <w:rPr>
          <w:i/>
        </w:rPr>
        <w:t>Role:</w:t>
      </w:r>
      <w:r>
        <w:rPr/>
        <w:t xml:space="preserve"> representative of the conversation-centric paradigm we deliberately do not follow — we constrain the </w:t>
      </w:r>
      <w:r>
        <w:rPr>
          <w:i/>
        </w:rPr>
        <w:t>edge</w:t>
      </w:r>
      <w:r>
        <w:rPr/>
        <w:t>, not the dialogue.</w:t>
      </w:r>
    </w:p>
    <w:p>
      <w:r>
        <w:rPr>
          <w:b/>
        </w:rPr>
        <w:t>[hong]</w:t>
      </w:r>
      <w:r>
        <w:rPr/>
        <w:t xml:space="preserve"> S. Hong, M. Zhuge, J. Chen, </w:t>
      </w:r>
      <w:r>
        <w:rPr>
          <w:i/>
        </w:rPr>
        <w:t>et al.</w:t>
      </w:r>
      <w:r>
        <w:rPr/>
        <w:t xml:space="preserve">, "MetaGPT: Meta programming for a multi-agent collaborative framework," in </w:t>
      </w:r>
      <w:r>
        <w:rPr>
          <w:i/>
        </w:rPr>
        <w:t>Proc. ICLR</w:t>
      </w:r>
      <w:r>
        <w:rPr/>
        <w:t>, 2024.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role specialisation with standardised operating procedures, and explicitly discusses cascading hallucination when intermediate outputs go unverified.</w:t>
      </w:r>
    </w:p>
    <w:p>
      <w:pPr>
        <w:pStyle w:val="ListBullet"/>
      </w:pPr>
      <w:r>
        <w:rPr>
          <w:i/>
        </w:rPr>
        <w:t>Does not:</w:t>
      </w:r>
      <w:r>
        <w:rPr/>
        <w:t xml:space="preserve"> verify intermediate artifacts against a declared contract, nor recover from a failed check.</w:t>
      </w:r>
    </w:p>
    <w:p>
      <w:pPr>
        <w:pStyle w:val="ListBullet"/>
      </w:pPr>
      <w:r>
        <w:rPr>
          <w:i/>
        </w:rPr>
        <w:t>Role:</w:t>
      </w:r>
      <w:r>
        <w:rPr/>
        <w:t xml:space="preserve"> the strongest motivation in the literature for our problem statement.</w:t>
      </w:r>
    </w:p>
    <w:p>
      <w:r>
        <w:rPr>
          <w:b/>
        </w:rPr>
        <w:t>[cemri]</w:t>
      </w:r>
      <w:r>
        <w:rPr/>
        <w:t xml:space="preserve"> M. Cemri, M. Z. Pan, S. Yang, </w:t>
      </w:r>
      <w:r>
        <w:rPr>
          <w:i/>
        </w:rPr>
        <w:t>et al.</w:t>
      </w:r>
      <w:r>
        <w:rPr/>
        <w:t xml:space="preserve">, "Why do multi-agent LLM systems fail?" in </w:t>
      </w:r>
      <w:r>
        <w:rPr>
          <w:i/>
        </w:rPr>
        <w:t>Proc. NeurIPS Datasets &amp; Benchmarks</w:t>
      </w:r>
      <w:r>
        <w:rPr/>
        <w:t>, 2025.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an empirical taxonomy (MAST) of fourteen failure modes, grouped into system design, inter-agent misalignment, and </w:t>
      </w:r>
      <w:r>
        <w:rPr>
          <w:b/>
        </w:rPr>
        <w:t>task verification</w:t>
      </w:r>
      <w:r>
        <w:rPr/>
        <w:t>.</w:t>
      </w:r>
    </w:p>
    <w:p>
      <w:pPr>
        <w:pStyle w:val="ListBullet"/>
      </w:pPr>
      <w:r>
        <w:rPr>
          <w:i/>
        </w:rPr>
        <w:t>Does not:</w:t>
      </w:r>
      <w:r>
        <w:rPr/>
        <w:t xml:space="preserve"> propose a runtime mechanism to prevent or repair those failures.</w:t>
      </w:r>
    </w:p>
    <w:p>
      <w:pPr>
        <w:pStyle w:val="ListBullet"/>
      </w:pPr>
      <w:r>
        <w:rPr>
          <w:i/>
        </w:rPr>
        <w:t>Role:</w:t>
      </w:r>
      <w:r>
        <w:rPr/>
        <w:t xml:space="preserve"> the empirical warrant for building a verification boundary. Note that its "task verification" category is precisely what our contracts operationalise.</w:t>
      </w:r>
    </w:p>
    <w:p>
      <w:r>
        <w:rPr>
          <w:b/>
        </w:rPr>
        <w:t>[shinn]</w:t>
      </w:r>
      <w:r>
        <w:rPr/>
        <w:t xml:space="preserve"> N. Shinn, F. Cassano, E. Berman, A. Gopinath, K. Narasimhan, and S. Yao, "Reflexion: Language agents with verbal reinforcement learning," in </w:t>
      </w:r>
      <w:r>
        <w:rPr>
          <w:i/>
        </w:rPr>
        <w:t>Proc. NeurIPS</w:t>
      </w:r>
      <w:r>
        <w:rPr/>
        <w:t>, 2023. arXiv:2303.11366</w:t>
      </w:r>
    </w:p>
    <w:p>
      <w:r>
        <w:rPr>
          <w:b/>
        </w:rPr>
        <w:t>[madaan]</w:t>
      </w:r>
      <w:r>
        <w:rPr/>
        <w:t xml:space="preserve"> A. Madaan, N. Tandon, P. Gupta, </w:t>
      </w:r>
      <w:r>
        <w:rPr>
          <w:i/>
        </w:rPr>
        <w:t>et al.</w:t>
      </w:r>
      <w:r>
        <w:rPr/>
        <w:t xml:space="preserve">, "Self-Refine: Iterative refinement with self-feedback," in </w:t>
      </w:r>
      <w:r>
        <w:rPr>
          <w:i/>
        </w:rPr>
        <w:t>Proc. NeurIPS</w:t>
      </w:r>
      <w:r>
        <w:rPr/>
        <w:t>, 2023. arXiv:2303.17651</w:t>
      </w:r>
    </w:p>
    <w:p>
      <w:pPr>
        <w:pStyle w:val="ListBullet"/>
      </w:pPr>
      <w:r>
        <w:rPr>
          <w:i/>
        </w:rPr>
        <w:t>Establish:</w:t>
      </w:r>
      <w:r>
        <w:rPr/>
        <w:t xml:space="preserve"> that an agent can improve its own output using feedback, without weight updates.</w:t>
      </w:r>
    </w:p>
    <w:p>
      <w:pPr>
        <w:pStyle w:val="ListBullet"/>
      </w:pPr>
      <w:r>
        <w:rPr>
          <w:i/>
        </w:rPr>
        <w:t>Do not:</w:t>
      </w:r>
      <w:r>
        <w:rPr/>
        <w:t xml:space="preserve"> establish that self-assessment is reliable — in both cases the critic is the same model that produced the output.</w:t>
      </w:r>
    </w:p>
    <w:p>
      <w:pPr>
        <w:pStyle w:val="ListBullet"/>
      </w:pPr>
      <w:r>
        <w:rPr>
          <w:i/>
        </w:rPr>
        <w:t>Role:</w:t>
      </w:r>
      <w:r>
        <w:rPr/>
        <w:t xml:space="preserve"> motivates an </w:t>
      </w:r>
      <w:r>
        <w:rPr>
          <w:i/>
        </w:rPr>
        <w:t>external</w:t>
      </w:r>
      <w:r>
        <w:rPr/>
        <w:t xml:space="preserve"> check. Our contract checker does not ask the agent whether it did well, which is the methodological point of the system.</w:t>
      </w:r>
    </w:p>
    <w:p>
      <w:r>
        <w:rPr>
          <w:b/>
        </w:rPr>
        <w:t>[gou]</w:t>
      </w:r>
      <w:r>
        <w:rPr/>
        <w:t xml:space="preserve"> Z. Gou, Z. Shao, Y. Gong, Y. Shen, Y. Yang, N. Duan, and W. Chen, "CRITIC: Large language models can self-correct with tool-interactive critiquing," in </w:t>
      </w:r>
      <w:r>
        <w:rPr>
          <w:i/>
        </w:rPr>
        <w:t>Proc. ICLR</w:t>
      </w:r>
      <w:r>
        <w:rPr/>
        <w:t>, 2024. arXiv:2305.11738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grounding critique in external tools rather than self-assessment.</w:t>
      </w:r>
    </w:p>
    <w:p>
      <w:pPr>
        <w:pStyle w:val="ListBullet"/>
      </w:pPr>
      <w:r>
        <w:rPr>
          <w:i/>
        </w:rPr>
        <w:t>Role:</w:t>
      </w:r>
      <w:r>
        <w:rPr/>
        <w:t xml:space="preserve"> closest in spirit to our checker; ours differs by being a static predicate over artifact metadata plus a </w:t>
      </w:r>
      <w:r>
        <w:rPr>
          <w:i/>
        </w:rPr>
        <w:t>repair decision</w:t>
      </w:r>
      <w:r>
        <w:rPr/>
        <w:t>, not an extra model call.</w:t>
      </w:r>
    </w:p>
    <w:p>
      <w:r>
        <w:rPr>
          <w:b/>
        </w:rPr>
        <w:t>[ruan]</w:t>
      </w:r>
      <w:r>
        <w:rPr/>
        <w:t xml:space="preserve"> Y. Ruan, H. Dong, A. Wang, </w:t>
      </w:r>
      <w:r>
        <w:rPr>
          <w:i/>
        </w:rPr>
        <w:t>et al.</w:t>
      </w:r>
      <w:r>
        <w:rPr/>
        <w:t xml:space="preserve">, "Identifying the risks of LM agents with an LM-emulated sandbox," in </w:t>
      </w:r>
      <w:r>
        <w:rPr>
          <w:i/>
        </w:rPr>
        <w:t>Proc. ICLR</w:t>
      </w:r>
      <w:r>
        <w:rPr/>
        <w:t>, 2024. arXiv:2309.15817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systematic risk identification for tool-using agents in an emulated environment.</w:t>
      </w:r>
    </w:p>
    <w:p>
      <w:pPr>
        <w:pStyle w:val="ListBullet"/>
      </w:pPr>
      <w:r>
        <w:rPr>
          <w:i/>
        </w:rPr>
        <w:t>Does not:</w:t>
      </w:r>
      <w:r>
        <w:rPr/>
        <w:t xml:space="preserve"> enforce anything at runtime.</w:t>
      </w:r>
    </w:p>
    <w:p>
      <w:pPr>
        <w:pStyle w:val="ListBullet"/>
      </w:pPr>
      <w:r>
        <w:rPr>
          <w:i/>
        </w:rPr>
        <w:t>Role:</w:t>
      </w:r>
      <w:r>
        <w:rPr/>
        <w:t xml:space="preserve"> supports our claim that agent risk is usually studied at evaluation time rather than at execution time.</w:t>
      </w:r>
    </w:p>
    <w:p>
      <w:r>
        <w:rPr>
          <w:b/>
        </w:rPr>
        <w:t>Synthesis.</w:t>
      </w:r>
      <w:r>
        <w:rPr/>
        <w:t xml:space="preserve"> This body of work improves the </w:t>
      </w:r>
      <w:r>
        <w:rPr>
          <w:i/>
        </w:rPr>
        <w:t>agent</w:t>
      </w:r>
      <w:r>
        <w:rPr/>
        <w:t xml:space="preserve">: better reasoning, better self-critique, better tool use. It is largely silent on the </w:t>
      </w:r>
      <w:r>
        <w:rPr>
          <w:i/>
        </w:rPr>
        <w:t>composition</w:t>
      </w:r>
      <w:r>
        <w:rPr/>
        <w:t xml:space="preserve"> level, where an artifact produced by one agent becomes the premise of the next. Our contribution is orthogonal and composable: we do not change any agent, we constrain its handoffs.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4. Automated repair of code, plans and processes</w:t>
      </w:r>
    </w:p>
    <w:p>
      <w:r>
        <w:rPr>
          <w:b/>
        </w:rPr>
        <w:t>[legoues]</w:t>
      </w:r>
      <w:r>
        <w:rPr/>
        <w:t xml:space="preserve"> C. Le Goues, M. Pradel, and A. Roychoudhury, "Automated program repair," </w:t>
      </w:r>
      <w:r>
        <w:rPr>
          <w:i/>
        </w:rPr>
        <w:t>Communications of the ACM</w:t>
      </w:r>
      <w:r>
        <w:rPr/>
        <w:t>, vol. 62, no. 12, pp. 56–65, 2019. DOI: 10.1145/3318162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the standard APR pipeline — fault localisation, patch generation, validation against a test oracle — and its open problems (overfitting, patch correctness).</w:t>
      </w:r>
    </w:p>
    <w:p>
      <w:pPr>
        <w:pStyle w:val="ListBullet"/>
      </w:pPr>
      <w:r>
        <w:rPr>
          <w:i/>
        </w:rPr>
        <w:t>Does not:</w:t>
      </w:r>
      <w:r>
        <w:rPr/>
        <w:t xml:space="preserve"> address data artifacts, spend budgets, or privacy constraints.</w:t>
      </w:r>
    </w:p>
    <w:p>
      <w:pPr>
        <w:pStyle w:val="ListBullet"/>
      </w:pPr>
      <w:r>
        <w:rPr>
          <w:i/>
        </w:rPr>
        <w:t>Role:</w:t>
      </w:r>
      <w:r>
        <w:rPr/>
        <w:t xml:space="preserve"> the structural template for our pipeline, and the source of our caution: APR's central lesson is that "passes the oracle" is not "correct," which is exactly the trap our own results fall into (§VII).</w:t>
      </w:r>
    </w:p>
    <w:p>
      <w:r>
        <w:rPr>
          <w:b/>
        </w:rPr>
        <w:t>[zhang]</w:t>
      </w:r>
      <w:r>
        <w:rPr/>
        <w:t xml:space="preserve"> Q. Zhang, C. Fang, Y. Ma, </w:t>
      </w:r>
      <w:r>
        <w:rPr>
          <w:i/>
        </w:rPr>
        <w:t>et al.</w:t>
      </w:r>
      <w:r>
        <w:rPr/>
        <w:t xml:space="preserve">, "A survey of learning-based automated program repair," </w:t>
      </w:r>
      <w:r>
        <w:rPr>
          <w:i/>
        </w:rPr>
        <w:t>ACM Trans. Softw. Eng. Methodol.</w:t>
      </w:r>
      <w:r>
        <w:rPr/>
        <w:t>, vol. 33, no. 2, art. 55, 2024. DOI: 10.1145/3631974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the current taxonomy of learning-based repair and its evaluation practices.</w:t>
      </w:r>
    </w:p>
    <w:p>
      <w:pPr>
        <w:pStyle w:val="ListBullet"/>
      </w:pPr>
      <w:r>
        <w:rPr>
          <w:i/>
        </w:rPr>
        <w:t>Role:</w:t>
      </w:r>
      <w:r>
        <w:rPr/>
        <w:t xml:space="preserve"> situates repair-candidate ranking as a mature idea in code, which is why we do not claim ranking itself as novel — only its instantiation over artifacts with privacy and residual-risk terms.</w:t>
      </w:r>
    </w:p>
    <w:p>
      <w:r>
        <w:rPr>
          <w:b/>
        </w:rPr>
        <w:t>[scala]</w:t>
      </w:r>
      <w:r>
        <w:rPr/>
        <w:t xml:space="preserve"> E. Scala, "Plan repair for resource constrained tasks via numeric macro actions," in </w:t>
      </w:r>
      <w:r>
        <w:rPr>
          <w:i/>
        </w:rPr>
        <w:t>Proc. ICAPS</w:t>
      </w:r>
      <w:r>
        <w:rPr/>
        <w:t>, vol. 24, no. 1, 2014, pp. 280–288. DOI: 10.1609/icaps.v24i1.13624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repairing plans that carry numeric resource constraints, using macro actions.</w:t>
      </w:r>
    </w:p>
    <w:p>
      <w:pPr>
        <w:pStyle w:val="ListBullet"/>
      </w:pPr>
      <w:r>
        <w:rPr>
          <w:i/>
        </w:rPr>
        <w:t>Does not:</w:t>
      </w:r>
      <w:r>
        <w:rPr/>
        <w:t xml:space="preserve"> operate on data artifacts, nor consider privacy.</w:t>
      </w:r>
    </w:p>
    <w:p>
      <w:pPr>
        <w:pStyle w:val="ListBullet"/>
      </w:pPr>
      <w:r>
        <w:rPr>
          <w:i/>
        </w:rPr>
        <w:t>Role:</w:t>
      </w:r>
      <w:r>
        <w:rPr/>
        <w:t xml:space="preserve"> the closest formal precedent for "repair under a resource bound." Our budget constraint is the same idea with a monetary wallet as the resource.</w:t>
      </w:r>
    </w:p>
    <w:p>
      <w:r>
        <w:rPr>
          <w:b/>
        </w:rPr>
        <w:t>[fahland]</w:t>
      </w:r>
      <w:r>
        <w:rPr/>
        <w:t xml:space="preserve"> D. Fahland and W. M. P. van der Aalst, "Model repair — aligning process models to reality," </w:t>
      </w:r>
      <w:r>
        <w:rPr>
          <w:i/>
        </w:rPr>
        <w:t>Information Systems</w:t>
      </w:r>
      <w:r>
        <w:rPr/>
        <w:t>, vol. 47, pp. 220–243, 2015. DOI: 10.1016/j.is.2013.12.007</w:t>
      </w:r>
    </w:p>
    <w:p>
      <w:r>
        <w:rPr>
          <w:b/>
        </w:rPr>
        <w:t>[polyvyanyy]</w:t>
      </w:r>
      <w:r>
        <w:rPr/>
        <w:t xml:space="preserve"> A. Polyvyanyy, W. M. P. van der Aalst, A. H. M. ter Hofstede, and M. T. Wynn, "Impact-driven process model repair," </w:t>
      </w:r>
      <w:r>
        <w:rPr>
          <w:i/>
        </w:rPr>
        <w:t>ACM Trans. Softw. Eng. Methodol.</w:t>
      </w:r>
      <w:r>
        <w:rPr/>
        <w:t>, vol. 25, no. 4, art. 28, 2016. DOI: 10.1145/2980764</w:t>
      </w:r>
    </w:p>
    <w:p>
      <w:pPr>
        <w:pStyle w:val="ListBullet"/>
      </w:pPr>
      <w:r>
        <w:rPr>
          <w:i/>
        </w:rPr>
        <w:t>Establish:</w:t>
      </w:r>
      <w:r>
        <w:rPr/>
        <w:t xml:space="preserve"> repairing a </w:t>
      </w:r>
      <w:r>
        <w:rPr>
          <w:i/>
        </w:rPr>
        <w:t>process model</w:t>
      </w:r>
      <w:r>
        <w:rPr/>
        <w:t xml:space="preserve"> so that it agrees with observed behaviour, with an explicit notion of repair impact.</w:t>
      </w:r>
    </w:p>
    <w:p>
      <w:pPr>
        <w:pStyle w:val="ListBullet"/>
      </w:pPr>
      <w:r>
        <w:rPr>
          <w:i/>
        </w:rPr>
        <w:t>Do not:</w:t>
      </w:r>
      <w:r>
        <w:rPr/>
        <w:t xml:space="preserve"> repair a single execution at runtime; they are offline, log-driven operations.</w:t>
      </w:r>
    </w:p>
    <w:p>
      <w:pPr>
        <w:pStyle w:val="ListBullet"/>
      </w:pPr>
      <w:r>
        <w:rPr>
          <w:i/>
        </w:rPr>
        <w:t>Role:</w:t>
      </w:r>
      <w:r>
        <w:rPr/>
        <w:t xml:space="preserve"> distinguishes structural repair (change the graph) from artifact repair (change the data). We implement the latter and describe the former as future work, which is a cleaner scope than conflating them.</w:t>
      </w:r>
    </w:p>
    <w:p>
      <w:r>
        <w:rPr>
          <w:b/>
        </w:rPr>
        <w:t>Synthesis.</w:t>
      </w:r>
      <w:r>
        <w:rPr/>
        <w:t xml:space="preserve"> Three mature repair traditions — code, plans, process models — share a pipeline shape we reuse, and none of them targets a runtime artifact crossing a declared contract, under a spend budget, with privacy as a first-class cost. That combination is where our contribution sits, and we are careful to claim the combination, not the components.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5. Provenance, auditability and human oversight</w:t>
      </w:r>
    </w:p>
    <w:p>
      <w:r>
        <w:rPr>
          <w:b/>
        </w:rPr>
        <w:t>[moreau]</w:t>
      </w:r>
      <w:r>
        <w:rPr/>
        <w:t xml:space="preserve"> L. Moreau, P. Groth, J. Cheney, T. Lebo, and S. Miles, "The rationale of PROV," </w:t>
      </w:r>
      <w:r>
        <w:rPr>
          <w:i/>
        </w:rPr>
        <w:t>Journal of Web Semantics</w:t>
      </w:r>
      <w:r>
        <w:rPr/>
        <w:t>, vol. 35, pp. 235–257, 2015. DOI: 10.1016/j.websem.2015.04.001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the design rationale behind the PROV family — entities, activities, agents, and the derivation relations between them.</w:t>
      </w:r>
    </w:p>
    <w:p>
      <w:pPr>
        <w:pStyle w:val="ListBullet"/>
      </w:pPr>
      <w:r>
        <w:rPr>
          <w:i/>
        </w:rPr>
        <w:t>Role:</w:t>
      </w:r>
      <w:r>
        <w:rPr/>
        <w:t xml:space="preserve"> our provenance field is a deliberately minimal subset of PROV's idea; this is the citation that keeps us honest about not reinventing an ontology badly.</w:t>
      </w:r>
    </w:p>
    <w:p>
      <w:r>
        <w:rPr>
          <w:b/>
        </w:rPr>
        <w:t>[schneier]</w:t>
      </w:r>
      <w:r>
        <w:rPr/>
        <w:t xml:space="preserve"> B. Schneier and J. Kelsey, "Secure audit logs to support computer forensics," </w:t>
      </w:r>
      <w:r>
        <w:rPr>
          <w:i/>
        </w:rPr>
        <w:t>ACM Trans. Inf. Syst. Secur.</w:t>
      </w:r>
      <w:r>
        <w:rPr/>
        <w:t>, vol. 2, no. 2, pp. 159–176, 1999. DOI: 10.1145/317087.317089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tamper-evident logs built from hash chaining, and a precise account of what such a construction does and does not guarantee without a trusted time source or secret key.</w:t>
      </w:r>
    </w:p>
    <w:p>
      <w:pPr>
        <w:pStyle w:val="ListBullet"/>
      </w:pPr>
      <w:r>
        <w:rPr>
          <w:i/>
        </w:rPr>
        <w:t>Role:</w:t>
      </w:r>
      <w:r>
        <w:rPr/>
        <w:t xml:space="preserve"> the basis for our certificate section. This paper is why we state explicitly that a Merkle root proves integrity only, and not authenticity or completeness.</w:t>
      </w:r>
    </w:p>
    <w:p>
      <w:r>
        <w:rPr>
          <w:b/>
        </w:rPr>
        <w:t>[green]</w:t>
      </w:r>
      <w:r>
        <w:rPr/>
        <w:t xml:space="preserve"> B. Green, "The flaws of policies requiring human oversight of government algorithms," </w:t>
      </w:r>
      <w:r>
        <w:rPr>
          <w:i/>
        </w:rPr>
        <w:t>Computer Law &amp; Security Review</w:t>
      </w:r>
      <w:r>
        <w:rPr/>
        <w:t>, vol. 45, art. 105681, 2022. DOI: 10.1016/j.clsr.2022.105681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that mandating a human in the loop does not by itself produce meaningful review; oversight can be nominal.</w:t>
      </w:r>
    </w:p>
    <w:p>
      <w:pPr>
        <w:pStyle w:val="ListBullet"/>
      </w:pPr>
      <w:r>
        <w:rPr>
          <w:i/>
        </w:rPr>
        <w:t>Role:</w:t>
      </w:r>
      <w:r>
        <w:rPr/>
        <w:t xml:space="preserve"> constrains our claims. We implement an approval gate; we do not claim it constitutes effective oversight, and we say so.</w:t>
      </w:r>
    </w:p>
    <w:p>
      <w:r>
        <w:rPr>
          <w:b/>
        </w:rPr>
        <w:t>[cobbe]</w:t>
      </w:r>
      <w:r>
        <w:rPr/>
        <w:t xml:space="preserve"> J. Cobbe, M. S. A. Lee, and J. Singh, "Reviewable automated decision-making: A framework for accountable algorithmic systems," in </w:t>
      </w:r>
      <w:r>
        <w:rPr>
          <w:i/>
        </w:rPr>
        <w:t>Proc. ACM FAccT</w:t>
      </w:r>
      <w:r>
        <w:rPr/>
        <w:t>, 2021. DOI: 10.1145/3442188.3445921</w:t>
      </w:r>
    </w:p>
    <w:p>
      <w:pPr>
        <w:pStyle w:val="ListBullet"/>
      </w:pPr>
      <w:r>
        <w:rPr>
          <w:i/>
        </w:rPr>
        <w:t>Establishes:</w:t>
      </w:r>
      <w:r>
        <w:rPr/>
        <w:t xml:space="preserve"> reviewability as a system property — the ability of an outside party to reconstruct and interrogate a decision.</w:t>
      </w:r>
    </w:p>
    <w:p>
      <w:pPr>
        <w:pStyle w:val="ListBullet"/>
      </w:pPr>
      <w:r>
        <w:rPr>
          <w:i/>
        </w:rPr>
        <w:t>Role:</w:t>
      </w:r>
      <w:r>
        <w:rPr/>
        <w:t xml:space="preserve"> gives us the vocabulary for why a per-decision certificate matters: the record of </w:t>
      </w:r>
      <w:r>
        <w:rPr>
          <w:i/>
        </w:rPr>
        <w:t>why this repair was chosen</w:t>
      </w:r>
      <w:r>
        <w:rPr/>
        <w:t xml:space="preserve"> is the reviewable object, not just the final output.</w:t>
      </w:r>
    </w:p>
    <w:p>
      <w:r>
        <w:rPr>
          <w:b/>
        </w:rPr>
        <w:t>Synthesis.</w:t>
      </w:r>
      <w:r>
        <w:rPr/>
        <w:t xml:space="preserve"> Auditability is usually treated as logging. Our narrower, checkable claim is that the </w:t>
      </w:r>
      <w:r>
        <w:rPr>
          <w:i/>
        </w:rPr>
        <w:t>decision</w:t>
      </w:r>
      <w:r>
        <w:rPr/>
        <w:t xml:space="preserve"> to repair — the failure codes, the candidate pool, the selected operator, the before/after hashes — should be hash-committed so it can be replayed and contested later.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6. Gap statement (what the paper claims)</w:t>
      </w:r>
    </w:p>
    <w:p>
      <w:r>
        <w:rPr/>
        <w:t>Across all five themes, three things are consistently absent:</w:t>
      </w:r>
    </w:p>
    <w:p>
      <w:pPr>
        <w:pStyle w:val="ListBullet"/>
      </w:pPr>
      <w:r>
        <w:rPr>
          <w:b/>
        </w:rPr>
        <w:t>G1 — Runtime, per-edge enforcement as a decision.</w:t>
      </w:r>
      <w:r>
        <w:rPr/>
        <w:t xml:space="preserve"> Validators detect; they do not decide. Contracts are configured per pipeline, not per connection, and enforcement is a deployment policy.</w:t>
      </w:r>
    </w:p>
    <w:p>
      <w:pPr>
        <w:pStyle w:val="ListBullet"/>
      </w:pPr>
      <w:r>
        <w:rPr>
          <w:b/>
        </w:rPr>
        <w:t>G2 — Repair selection for artifacts under joint constraints.</w:t>
      </w:r>
      <w:r>
        <w:rPr/>
        <w:t xml:space="preserve"> Repair exists for code, plans and process models. No prior work selects among artifact-level repair operators subject to a hard spend budget together with privacy and residual-failure risk.</w:t>
      </w:r>
    </w:p>
    <w:p>
      <w:pPr>
        <w:pStyle w:val="ListBullet"/>
      </w:pPr>
      <w:r>
        <w:rPr>
          <w:b/>
        </w:rPr>
        <w:t>G3 — A committed record of the repair decision.</w:t>
      </w:r>
      <w:r>
        <w:rPr/>
        <w:t xml:space="preserve"> Provenance and tamper-evident logging exist separately from repair. Coupling them — so that the </w:t>
      </w:r>
      <w:r>
        <w:rPr>
          <w:i/>
        </w:rPr>
        <w:t>choice</w:t>
      </w:r>
      <w:r>
        <w:rPr/>
        <w:t xml:space="preserve"> is auditable, not only the outcome — is what we implement.</w:t>
      </w:r>
    </w:p>
    <w:p>
      <w:r>
        <w:rPr/>
        <w:t xml:space="preserve">What we explicitly do </w:t>
      </w:r>
      <w:r>
        <w:rPr>
          <w:b/>
        </w:rPr>
        <w:t>not</w:t>
      </w:r>
      <w:r>
        <w:rPr/>
        <w:t xml:space="preserve"> claim: a novel repair algorithm; that repairs restore information; that contract satisfaction implies validity; or any patentable novelty.</w:t>
      </w:r>
    </w:p>
    <w:p>
      <w:pPr>
        <w:pBdr>
          <w:bottom w:val="single" w:sz="6" w:space="1" w:color="999999"/>
        </w:pBdr>
        <w:spacing w:before="160" w:after="160"/>
      </w:pPr>
    </w:p>
    <w:p>
      <w:pPr>
        <w:pStyle w:val="Heading1"/>
      </w:pPr>
      <w:r>
        <w:rPr/>
        <w:t>7. Metadata to fix before submission</w:t>
      </w:r>
    </w:p>
    <w:p>
      <w:r>
        <w:rPr/>
        <w:t>Four entries have a discrepancy or an unchecked field. None affects the argument; all should be resolved against the publisher record before the reference list is final.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44"/>
          </w:tcPr>
          <w:p>
            <w:pPr>
              <w:spacing w:before="40" w:after="40"/>
            </w:pPr>
            <w:r>
              <w:rPr>
                <w:b/>
              </w:rPr>
              <w:t>Ref</w:t>
            </w:r>
          </w:p>
        </w:tc>
        <w:tc>
          <w:tcPr>
            <w:tcW w:type="dxa" w:w="7416"/>
          </w:tcPr>
          <w:p>
            <w:pPr>
              <w:spacing w:before="40" w:after="40"/>
            </w:pPr>
            <w:r>
              <w:rPr>
                <w:b/>
              </w:rPr>
              <w:t>Issue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>
              <w:rPr/>
              <w:t>[zhang]</w:t>
            </w:r>
          </w:p>
        </w:tc>
        <w:tc>
          <w:tcPr>
            <w:tcW w:type="dxa" w:w="7416"/>
          </w:tcPr>
          <w:p>
            <w:pPr>
              <w:spacing w:before="40" w:after="40"/>
            </w:pPr>
            <w:r>
              <w:rPr/>
              <w:t>ACM record was not directly fetchable; issue number, article number and page range need a publisher-side check.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>
              <w:rPr/>
              <w:t>[polyvyanyy]</w:t>
            </w:r>
          </w:p>
        </w:tc>
        <w:tc>
          <w:tcPr>
            <w:tcW w:type="dxa" w:w="7416"/>
          </w:tcPr>
          <w:p>
            <w:pPr>
              <w:spacing w:before="40" w:after="40"/>
            </w:pPr>
            <w:r>
              <w:rPr/>
              <w:t>Accessible repository record omits pages. Commonly cited as art. 28, 28:1–28:60, and sometimes dated 2017 rather than 2016.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>
              <w:rPr/>
              <w:t>[schneier]</w:t>
            </w:r>
          </w:p>
        </w:tc>
        <w:tc>
          <w:tcPr>
            <w:tcW w:type="dxa" w:w="7416"/>
          </w:tcPr>
          <w:p>
            <w:pPr>
              <w:spacing w:before="40" w:after="40"/>
            </w:pPr>
            <w:r>
              <w:rPr/>
              <w:t>The ACM record gives vol. 2, no. 2; the author's own page gives vol. 1, no. 3. We use the ACM metadata.</w:t>
            </w:r>
          </w:p>
        </w:tc>
      </w:tr>
      <w:tr>
        <w:tc>
          <w:tcPr>
            <w:tcW w:type="dxa" w:w="1944"/>
          </w:tcPr>
          <w:p>
            <w:pPr>
              <w:spacing w:before="40" w:after="40"/>
            </w:pPr>
            <w:r>
              <w:rPr/>
              <w:t>[hong]</w:t>
            </w:r>
          </w:p>
        </w:tc>
        <w:tc>
          <w:tcPr>
            <w:tcW w:type="dxa" w:w="7416"/>
          </w:tcPr>
          <w:p>
            <w:pPr>
              <w:spacing w:before="40" w:after="40"/>
            </w:pPr>
            <w:r>
              <w:rPr/>
              <w:t>ICLR lists the third author as J. Chen; arXiv lists J. Chen / J. Chen variants across versions. Verify against the camera-ready.</w:t>
            </w:r>
          </w:p>
        </w:tc>
      </w:tr>
    </w:tbl>
    <w:p>
      <w:pPr>
        <w:spacing w:after="40"/>
      </w:pPr>
    </w:p>
    <w:p>
      <w:r>
        <w:rPr/>
        <w:t>Also note: [wu], [shinn], [madaan] are cited as arXiv preprints or NeurIPS proceedings. If a journal version exists by submission time, cite that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  <w:jc w:val="both"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 - MindWeave-R</dc:title>
  <dc:subject>Literature review for the IEEE paper draft</dc:subject>
  <dc:creator>MindWeave-R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