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Budget Report</w:t>
      </w:r>
    </w:p>
    <w:p>
      <w:pPr>
        <w:spacing w:after="240"/>
      </w:pPr>
      <w:r>
        <w:rPr>
          <w:rFonts w:ascii="Arial" w:hAnsi="Arial"/>
          <w:b w:val="0"/>
          <w:color w:val="888888"/>
          <w:sz w:val="20"/>
        </w:rPr>
        <w:t>turabit  ·  Finance  ·  India</w:t>
      </w:r>
    </w:p>
    <w:p>
      <w:pPr>
        <w:spacing w:after="280"/>
        <w:pBdr>
          <w:bottom w:val="single" w:sz="6" w:space="1" w:color="2E4057"/>
        </w:pBdr>
      </w:pPr>
    </w:p>
    <w:p>
      <w:pPr>
        <w:spacing w:before="280" w:after="120"/>
      </w:pPr>
      <w:r>
        <w:rPr>
          <w:rFonts w:ascii="Arial" w:hAnsi="Arial"/>
          <w:b/>
          <w:color w:val="2E4057"/>
          <w:sz w:val="26"/>
        </w:rPr>
        <w:t>Document Information</w:t>
      </w:r>
    </w:p>
    <w:p>
      <w:pPr>
        <w:spacing w:after="120"/>
      </w:pPr>
      <w:r>
        <w:rPr>
          <w:rFonts w:ascii="Arial" w:hAnsi="Arial"/>
          <w:b w:val="0"/>
          <w:color w:val="222222"/>
          <w:sz w:val="22"/>
        </w:rPr>
        <w:t>Company: turabit</w:t>
      </w:r>
    </w:p>
    <w:p>
      <w:pPr>
        <w:spacing w:after="120"/>
      </w:pPr>
      <w:r>
        <w:rPr>
          <w:rFonts w:ascii="Arial" w:hAnsi="Arial"/>
          <w:b w:val="0"/>
          <w:color w:val="222222"/>
          <w:sz w:val="22"/>
        </w:rPr>
        <w:t>Department: Finance</w:t>
      </w:r>
    </w:p>
    <w:p>
      <w:pPr>
        <w:spacing w:after="120"/>
      </w:pPr>
      <w:r>
        <w:rPr>
          <w:rFonts w:ascii="Arial" w:hAnsi="Arial"/>
          <w:b w:val="0"/>
          <w:color w:val="222222"/>
          <w:sz w:val="22"/>
        </w:rPr>
        <w:t>Industry: Technology / SaaS</w:t>
      </w:r>
    </w:p>
    <w:p>
      <w:pPr>
        <w:spacing w:after="120"/>
      </w:pPr>
      <w:r>
        <w:rPr>
          <w:rFonts w:ascii="Arial" w:hAnsi="Arial"/>
          <w:b w:val="0"/>
          <w:color w:val="222222"/>
          <w:sz w:val="22"/>
        </w:rPr>
        <w:t>Region: India</w:t>
      </w:r>
    </w:p>
    <w:p>
      <w:pPr>
        <w:spacing w:after="80"/>
      </w:pPr>
    </w:p>
    <w:p>
      <w:pPr>
        <w:spacing w:after="120"/>
      </w:pPr>
      <w:r>
        <w:rPr>
          <w:rFonts w:ascii="Arial" w:hAnsi="Arial"/>
          <w:b w:val="0"/>
          <w:color w:val="222222"/>
          <w:sz w:val="22"/>
        </w:rPr>
        <w:t>Fiscal Period Covered: 01 April 2026 – 31 March 2027</w:t>
      </w:r>
    </w:p>
    <w:p>
      <w:pPr>
        <w:spacing w:after="80"/>
      </w:pPr>
    </w:p>
    <w:p>
      <w:pPr>
        <w:spacing w:after="120"/>
      </w:pPr>
      <w:r>
        <w:rPr>
          <w:rFonts w:ascii="Arial" w:hAnsi="Arial"/>
          <w:b w:val="0"/>
          <w:color w:val="222222"/>
          <w:sz w:val="22"/>
        </w:rPr>
        <w:t>Primary Contact: Finance Operations Manager, Finance Department</w:t>
      </w:r>
    </w:p>
    <w:p>
      <w:pPr>
        <w:spacing w:after="80"/>
      </w:pPr>
    </w:p>
    <w:p>
      <w:pPr>
        <w:spacing w:after="120"/>
      </w:pPr>
      <w:r>
        <w:rPr>
          <w:rFonts w:ascii="Arial" w:hAnsi="Arial"/>
          <w:b w:val="0"/>
          <w:color w:val="222222"/>
          <w:sz w:val="22"/>
        </w:rPr>
        <w:t>Report prepared to support financial planning, expenditure control, and resource allocation for the stated fiscal period, ensuring alignment with company objectives and regulatory compliance.</w:t>
      </w:r>
    </w:p>
    <w:p>
      <w:pPr>
        <w:spacing w:after="160"/>
      </w:pPr>
    </w:p>
    <w:p>
      <w:pPr>
        <w:spacing w:before="280" w:after="120"/>
      </w:pPr>
      <w:r>
        <w:rPr>
          <w:rFonts w:ascii="Arial" w:hAnsi="Arial"/>
          <w:b/>
          <w:color w:val="2E4057"/>
          <w:sz w:val="26"/>
        </w:rPr>
        <w:t>Budget Overview</w:t>
      </w:r>
    </w:p>
    <w:p>
      <w:pPr>
        <w:spacing w:after="120"/>
      </w:pPr>
      <w:r>
        <w:rPr>
          <w:rFonts w:ascii="Arial" w:hAnsi="Arial"/>
          <w:b w:val="0"/>
          <w:color w:val="222222"/>
          <w:sz w:val="22"/>
        </w:rPr>
        <w:t>The following table presents a detailed comparison of the Finance department’s budgeted amounts against actual expenditures for the first quarter of 2026, highlighting variances and percentage differences by category.</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Category</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Budgeted Amount (USD)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Actual Spend (USD)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Variance (USD)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 Variance</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Personnel Costs (2026-Q1)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850,000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820,000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3.53%</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Operational Expenses (2026-Q1)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420,000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455,000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-35,000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-8.33%</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Technology and Software (2026-Q1)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260,000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245,000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5.77%</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and Development (2026-Q1)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72,000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20.00%</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Travel and Business Meetings (2026-Q1)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98,000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22,000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18.33%</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Office Supplies and Equipment (2026-Q1)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54,000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10.00%</w:t>
            </w:r>
          </w:p>
        </w:tc>
      </w:tr>
    </w:tbl>
    <w:p>
      <w:pPr>
        <w:spacing w:after="120"/>
      </w:pPr>
    </w:p>
    <w:p>
      <w:pPr>
        <w:spacing w:after="160"/>
      </w:pPr>
    </w:p>
    <w:p>
      <w:pPr>
        <w:spacing w:before="280" w:after="120"/>
      </w:pPr>
      <w:r>
        <w:rPr>
          <w:rFonts w:ascii="Arial" w:hAnsi="Arial"/>
          <w:b/>
          <w:color w:val="2E4057"/>
          <w:sz w:val="26"/>
        </w:rPr>
        <w:t>Budget Allocation</w:t>
      </w:r>
    </w:p>
    <w:p>
      <w:pPr>
        <w:spacing w:after="120"/>
      </w:pPr>
      <w:r>
        <w:rPr>
          <w:rFonts w:ascii="Arial" w:hAnsi="Arial"/>
          <w:b w:val="0"/>
          <w:color w:val="222222"/>
          <w:sz w:val="22"/>
        </w:rPr>
        <w:t>The following table presents the budget allocation for April 2026, comparing the budgeted amounts against actual expenditures across key financial categories within the Finance department.</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Category</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Budgeted Amount (INR)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Actual Spend (INR)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Variance (INR)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 Variance</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Personnel Costs (2026-04)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850000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820000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3.53%</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Operational Expenses (2026-04)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420000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455000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-35000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-8.33%</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Technology and Software (2026-04)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260000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245000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5.77%</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and Development (2026-04)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72000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20.00%</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Travel and Business Meetings (2026-04)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98000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22000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18.33%</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Office Supplies and Equipment (2026-04)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54000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10.00%</w:t>
            </w:r>
          </w:p>
        </w:tc>
      </w:tr>
    </w:tbl>
    <w:p>
      <w:pPr>
        <w:spacing w:after="120"/>
      </w:pPr>
    </w:p>
    <w:p>
      <w:pPr>
        <w:spacing w:after="160"/>
      </w:pPr>
    </w:p>
    <w:p>
      <w:pPr>
        <w:spacing w:before="280" w:after="120"/>
      </w:pPr>
      <w:r>
        <w:rPr>
          <w:rFonts w:ascii="Arial" w:hAnsi="Arial"/>
          <w:b/>
          <w:color w:val="2E4057"/>
          <w:sz w:val="26"/>
        </w:rPr>
        <w:t>Planned Expenditures</w:t>
      </w:r>
    </w:p>
    <w:p>
      <w:pPr>
        <w:spacing w:after="120"/>
      </w:pPr>
      <w:r>
        <w:rPr>
          <w:rFonts w:ascii="Arial" w:hAnsi="Arial"/>
          <w:b w:val="0"/>
          <w:color w:val="222222"/>
          <w:sz w:val="22"/>
        </w:rPr>
        <w:t>The total planned budget allocation for this period is USD 1,800,000. Expenditures will be distributed as follows:</w:t>
      </w:r>
    </w:p>
    <w:p>
      <w:pPr>
        <w:spacing w:after="80"/>
      </w:pPr>
    </w:p>
    <w:p>
      <w:pPr>
        <w:spacing w:after="80"/>
        <w:ind w:left="360"/>
      </w:pPr>
      <w:r>
        <w:rPr>
          <w:rFonts w:ascii="Arial" w:hAnsi="Arial"/>
          <w:b w:val="0"/>
          <w:color w:val="222222"/>
          <w:sz w:val="22"/>
        </w:rPr>
        <w:t>1. Personnel Costs — USD 850,000</w:t>
      </w:r>
    </w:p>
    <w:p>
      <w:pPr>
        <w:spacing w:after="80"/>
        <w:ind w:left="360"/>
      </w:pPr>
      <w:r>
        <w:rPr>
          <w:rFonts w:ascii="Arial" w:hAnsi="Arial"/>
          <w:b w:val="0"/>
          <w:color w:val="222222"/>
          <w:sz w:val="22"/>
        </w:rPr>
        <w:t>2. Operational Expenses — USD 420,000</w:t>
      </w:r>
    </w:p>
    <w:p>
      <w:pPr>
        <w:spacing w:after="80"/>
        <w:ind w:left="360"/>
      </w:pPr>
      <w:r>
        <w:rPr>
          <w:rFonts w:ascii="Arial" w:hAnsi="Arial"/>
          <w:b w:val="0"/>
          <w:color w:val="222222"/>
          <w:sz w:val="22"/>
        </w:rPr>
        <w:t>3. Technology and Software — USD 260,000</w:t>
      </w:r>
    </w:p>
    <w:p>
      <w:pPr>
        <w:spacing w:after="80"/>
        <w:ind w:left="360"/>
      </w:pPr>
      <w:r>
        <w:rPr>
          <w:rFonts w:ascii="Arial" w:hAnsi="Arial"/>
          <w:b w:val="0"/>
          <w:color w:val="222222"/>
          <w:sz w:val="22"/>
        </w:rPr>
        <w:t>4. Training and Development — USD 90,000</w:t>
      </w:r>
    </w:p>
    <w:p>
      <w:pPr>
        <w:spacing w:after="80"/>
        <w:ind w:left="360"/>
      </w:pPr>
      <w:r>
        <w:rPr>
          <w:rFonts w:ascii="Arial" w:hAnsi="Arial"/>
          <w:b w:val="0"/>
          <w:color w:val="222222"/>
          <w:sz w:val="22"/>
        </w:rPr>
        <w:t>5. Travel and Business Meetings — USD 120,000</w:t>
      </w:r>
    </w:p>
    <w:p>
      <w:pPr>
        <w:spacing w:after="80"/>
        <w:ind w:left="360"/>
      </w:pPr>
      <w:r>
        <w:rPr>
          <w:rFonts w:ascii="Arial" w:hAnsi="Arial"/>
          <w:b w:val="0"/>
          <w:color w:val="222222"/>
          <w:sz w:val="22"/>
        </w:rPr>
        <w:t>6. Office Supplies and Equipment — USD 60,000</w:t>
      </w:r>
    </w:p>
    <w:p>
      <w:pPr>
        <w:spacing w:after="160"/>
      </w:pPr>
    </w:p>
    <w:p>
      <w:pPr>
        <w:spacing w:before="280" w:after="120"/>
      </w:pPr>
      <w:r>
        <w:rPr>
          <w:rFonts w:ascii="Arial" w:hAnsi="Arial"/>
          <w:b/>
          <w:color w:val="2E4057"/>
          <w:sz w:val="26"/>
        </w:rPr>
        <w:t>Actual Spending Data</w:t>
      </w:r>
    </w:p>
    <w:p>
      <w:pPr>
        <w:spacing w:after="120"/>
      </w:pPr>
      <w:r>
        <w:rPr>
          <w:rFonts w:ascii="Arial" w:hAnsi="Arial"/>
          <w:b w:val="0"/>
          <w:color w:val="222222"/>
          <w:sz w:val="22"/>
        </w:rPr>
        <w:t>For the reporting period 01 April 2026 to 30 June 2026, turabit’s actual spending totaled USD 1,744,000. Major expense categories include:</w:t>
      </w:r>
    </w:p>
    <w:p>
      <w:pPr>
        <w:spacing w:after="80"/>
      </w:pPr>
    </w:p>
    <w:p>
      <w:pPr>
        <w:spacing w:after="80"/>
        <w:ind w:left="360"/>
      </w:pPr>
      <w:r>
        <w:rPr>
          <w:rFonts w:ascii="Arial" w:hAnsi="Arial"/>
          <w:b w:val="0"/>
          <w:color w:val="222222"/>
          <w:sz w:val="22"/>
        </w:rPr>
        <w:t>1. Personnel Costs — USD 820,000</w:t>
      </w:r>
    </w:p>
    <w:p>
      <w:pPr>
        <w:spacing w:after="80"/>
        <w:ind w:left="360"/>
      </w:pPr>
      <w:r>
        <w:rPr>
          <w:rFonts w:ascii="Arial" w:hAnsi="Arial"/>
          <w:b w:val="0"/>
          <w:color w:val="222222"/>
          <w:sz w:val="22"/>
        </w:rPr>
        <w:t>2. Operational Expenses — USD 455,000</w:t>
      </w:r>
    </w:p>
    <w:p>
      <w:pPr>
        <w:spacing w:after="80"/>
        <w:ind w:left="360"/>
      </w:pPr>
      <w:r>
        <w:rPr>
          <w:rFonts w:ascii="Arial" w:hAnsi="Arial"/>
          <w:b w:val="0"/>
          <w:color w:val="222222"/>
          <w:sz w:val="22"/>
        </w:rPr>
        <w:t>3. Technology and Software — USD 245,000</w:t>
      </w:r>
    </w:p>
    <w:p>
      <w:pPr>
        <w:spacing w:after="80"/>
        <w:ind w:left="360"/>
      </w:pPr>
      <w:r>
        <w:rPr>
          <w:rFonts w:ascii="Arial" w:hAnsi="Arial"/>
          <w:b w:val="0"/>
          <w:color w:val="222222"/>
          <w:sz w:val="22"/>
        </w:rPr>
        <w:t>4. Training and Development — USD 72,000</w:t>
      </w:r>
    </w:p>
    <w:p>
      <w:pPr>
        <w:spacing w:after="80"/>
        <w:ind w:left="360"/>
      </w:pPr>
      <w:r>
        <w:rPr>
          <w:rFonts w:ascii="Arial" w:hAnsi="Arial"/>
          <w:b w:val="0"/>
          <w:color w:val="222222"/>
          <w:sz w:val="22"/>
        </w:rPr>
        <w:t>5. Travel and Business Meetings — USD 98,000</w:t>
      </w:r>
    </w:p>
    <w:p>
      <w:pPr>
        <w:spacing w:after="80"/>
        <w:ind w:left="360"/>
      </w:pPr>
      <w:r>
        <w:rPr>
          <w:rFonts w:ascii="Arial" w:hAnsi="Arial"/>
          <w:b w:val="0"/>
          <w:color w:val="222222"/>
          <w:sz w:val="22"/>
        </w:rPr>
        <w:t>6. Office Supplies and Equipment — USD 54,000</w:t>
      </w:r>
    </w:p>
    <w:p>
      <w:pPr>
        <w:spacing w:after="160"/>
      </w:pPr>
    </w:p>
    <w:p>
      <w:pPr>
        <w:spacing w:before="280" w:after="120"/>
      </w:pPr>
      <w:r>
        <w:rPr>
          <w:rFonts w:ascii="Arial" w:hAnsi="Arial"/>
          <w:b/>
          <w:color w:val="2E4057"/>
          <w:sz w:val="26"/>
        </w:rPr>
        <w:t>Variance Analysis</w:t>
      </w:r>
    </w:p>
    <w:p>
      <w:pPr>
        <w:spacing w:after="120"/>
      </w:pPr>
      <w:r>
        <w:rPr>
          <w:rFonts w:ascii="Arial" w:hAnsi="Arial"/>
          <w:b w:val="0"/>
          <w:color w:val="222222"/>
          <w:sz w:val="22"/>
        </w:rPr>
        <w:t>Variance analysis covers key budget categories including revenue, operating expenses, and capital expenditures. The reporting period spans the last fiscal quarter. Significant variances exceeding 5% or INR 1,00,000 are identified and investigated. Causes such as market conditions, operational changes, or unplanned costs are detailed. This ensures informed decision-making and effective budget control within turabit’s Finance department.</w:t>
      </w:r>
    </w:p>
    <w:p>
      <w:pPr>
        <w:spacing w:after="160"/>
      </w:pPr>
    </w:p>
    <w:p>
      <w:pPr>
        <w:spacing w:before="280" w:after="120"/>
      </w:pPr>
      <w:r>
        <w:rPr>
          <w:rFonts w:ascii="Arial" w:hAnsi="Arial"/>
          <w:b/>
          <w:color w:val="2E4057"/>
          <w:sz w:val="26"/>
        </w:rPr>
        <w:t>Financial Performance Summary</w:t>
      </w:r>
    </w:p>
    <w:p>
      <w:pPr>
        <w:spacing w:after="120"/>
      </w:pPr>
      <w:r>
        <w:rPr>
          <w:rFonts w:ascii="Arial" w:hAnsi="Arial"/>
          <w:b w:val="0"/>
          <w:color w:val="222222"/>
          <w:sz w:val="22"/>
        </w:rPr>
        <w:t>During the reporting period, turabit’s financial performance remained stable, reflecting steady revenue growth and controlled expense ratios. Profit margins showed moderate improvement compared to the prior period. Key variances included increased operational costs linked to product development and marketing initiatives. Overall, the Finance department continues to monitor financial health closely, ensuring alignment with strategic growth objectives in the competitive SaaS market in India.</w:t>
      </w:r>
    </w:p>
    <w:p>
      <w:pPr>
        <w:spacing w:after="160"/>
      </w:pPr>
    </w:p>
    <w:p>
      <w:pPr>
        <w:spacing w:before="280" w:after="120"/>
      </w:pPr>
      <w:r>
        <w:rPr>
          <w:rFonts w:ascii="Arial" w:hAnsi="Arial"/>
          <w:b/>
          <w:color w:val="2E4057"/>
          <w:sz w:val="26"/>
        </w:rPr>
        <w:t>Key Financial Insights</w:t>
      </w:r>
    </w:p>
    <w:p>
      <w:pPr>
        <w:spacing w:after="120"/>
      </w:pPr>
      <w:r>
        <w:rPr>
          <w:rFonts w:ascii="Arial" w:hAnsi="Arial"/>
          <w:b w:val="0"/>
          <w:color w:val="222222"/>
          <w:sz w:val="22"/>
        </w:rPr>
        <w:t>The current budget period reflects steady revenue growth aligned with SaaS industry benchmarks. Key financial metrics indicate improved operational efficiency and controlled overhead costs. Major variances include a 5% shortfall in subscription revenue and a 3% increase in customer acquisition expenses. Emerging risks involve currency fluctuations and competitive pricing pressures, which may impact forecast accuracy and margin stability in the coming quarters.</w:t>
      </w:r>
    </w:p>
    <w:p>
      <w:pPr>
        <w:spacing w:after="160"/>
      </w:pPr>
    </w:p>
    <w:p>
      <w:pPr>
        <w:spacing w:before="280" w:after="120"/>
      </w:pPr>
      <w:r>
        <w:rPr>
          <w:rFonts w:ascii="Arial" w:hAnsi="Arial"/>
          <w:b/>
          <w:color w:val="2E4057"/>
          <w:sz w:val="26"/>
        </w:rPr>
        <w:t>Risk and Adjustment Considerations</w:t>
      </w:r>
    </w:p>
    <w:p>
      <w:pPr>
        <w:spacing w:after="120"/>
      </w:pPr>
      <w:r>
        <w:rPr>
          <w:rFonts w:ascii="Arial" w:hAnsi="Arial"/>
          <w:b w:val="0"/>
          <w:color w:val="222222"/>
          <w:sz w:val="22"/>
        </w:rPr>
        <w:t>Potential financial risks include market volatility, fluctuating exchange rates, and unexpected operational expenses. To mitigate these, the Finance department employs regular budget reviews, flexible allocation strategies, and maintains an emergency reserve fund. Contingency plans involve scenario analysis and phased spending adjustments to ensure alignment with company objectives and safeguard overall fiscal stability throughout the upcoming period.</w:t>
      </w:r>
    </w:p>
    <w:p>
      <w:pPr>
        <w:spacing w:after="160"/>
      </w:pPr>
    </w:p>
    <w:p>
      <w:pPr>
        <w:spacing w:before="280" w:after="120"/>
      </w:pPr>
      <w:r>
        <w:rPr>
          <w:rFonts w:ascii="Arial" w:hAnsi="Arial"/>
          <w:b/>
          <w:color w:val="2E4057"/>
          <w:sz w:val="26"/>
        </w:rPr>
        <w:t>Recommendations</w:t>
      </w:r>
    </w:p>
    <w:p>
      <w:pPr>
        <w:spacing w:after="120"/>
      </w:pPr>
      <w:r>
        <w:rPr>
          <w:rFonts w:ascii="Arial" w:hAnsi="Arial"/>
          <w:b w:val="0"/>
          <w:color w:val="222222"/>
          <w:sz w:val="22"/>
        </w:rPr>
        <w:t>Based on current analysis, it is recommended to reassess budget allocations to optimize operational efficiency and support strategic growth. Consider increasing funding for product development and marketing initiatives while monitoring administrative expenses closely. Prioritize investments that enhance customer acquisition and retention. Implementing these adjustments is expected to improve revenue streams and maintain sustainable cost management within the upcoming fiscal period.</w:t>
      </w:r>
    </w:p>
    <w:p>
      <w:pPr>
        <w:spacing w:after="160"/>
      </w:pPr>
    </w:p>
    <w:p>
      <w:pPr>
        <w:spacing w:before="280" w:after="120"/>
      </w:pPr>
      <w:r>
        <w:rPr>
          <w:rFonts w:ascii="Arial" w:hAnsi="Arial"/>
          <w:b/>
          <w:color w:val="2E4057"/>
          <w:sz w:val="26"/>
        </w:rPr>
        <w:t>Approval and Authorization</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Budget Analyst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Financial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Director of Finance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Budget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Budget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