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Cost Analysis Report</w:t>
      </w:r>
    </w:p>
    <w:p>
      <w:pPr>
        <w:spacing w:after="240"/>
      </w:pPr>
      <w:r>
        <w:rPr>
          <w:rFonts w:ascii="Arial" w:hAnsi="Arial"/>
          <w:b w:val="0"/>
          <w:color w:val="888888"/>
          <w:sz w:val="20"/>
        </w:rPr>
        <w:t>turabit  ·  Finance  ·  India</w:t>
      </w:r>
    </w:p>
    <w:p>
      <w:pPr>
        <w:spacing w:after="280"/>
        <w:pBdr>
          <w:bottom w:val="single" w:sz="6" w:space="1" w:color="2E4057"/>
        </w:pBdr>
      </w:pPr>
    </w:p>
    <w:p>
      <w:pPr>
        <w:spacing w:before="280" w:after="120"/>
      </w:pPr>
      <w:r>
        <w:rPr>
          <w:rFonts w:ascii="Arial" w:hAnsi="Arial"/>
          <w:b/>
          <w:color w:val="2E4057"/>
          <w:sz w:val="26"/>
        </w:rPr>
        <w:t>Report Information</w:t>
      </w:r>
    </w:p>
    <w:p>
      <w:pPr>
        <w:spacing w:after="120"/>
      </w:pPr>
      <w:r>
        <w:rPr>
          <w:rFonts w:ascii="Arial" w:hAnsi="Arial"/>
          <w:b w:val="0"/>
          <w:color w:val="222222"/>
          <w:sz w:val="22"/>
        </w:rPr>
        <w:t>The Cost Analysis Report covers the period from 01 April 2025 to 31 March 2026. It encompasses financial data and cost metrics relevant to turabit’s operations within the Technology and SaaS industry in India.</w:t>
      </w:r>
    </w:p>
    <w:p>
      <w:pPr>
        <w:spacing w:after="80"/>
      </w:pPr>
    </w:p>
    <w:p>
      <w:pPr>
        <w:spacing w:after="120"/>
      </w:pPr>
      <w:r>
        <w:rPr>
          <w:rFonts w:ascii="Arial" w:hAnsi="Arial"/>
          <w:b w:val="0"/>
          <w:color w:val="222222"/>
          <w:sz w:val="22"/>
        </w:rPr>
        <w:t>The primary author and responsible analyst for this report is the Senior Financial Analyst from the Finance department, ensuring accuracy and compliance with corporate standards.</w:t>
      </w:r>
    </w:p>
    <w:p>
      <w:pPr>
        <w:spacing w:after="160"/>
      </w:pPr>
    </w:p>
    <w:p>
      <w:pPr>
        <w:spacing w:before="280" w:after="120"/>
      </w:pPr>
      <w:r>
        <w:rPr>
          <w:rFonts w:ascii="Arial" w:hAnsi="Arial"/>
          <w:b/>
          <w:color w:val="2E4057"/>
          <w:sz w:val="26"/>
        </w:rPr>
        <w:t>Purpose of Cost Analysis</w:t>
      </w:r>
    </w:p>
    <w:p>
      <w:pPr>
        <w:spacing w:after="120"/>
      </w:pPr>
      <w:r>
        <w:rPr>
          <w:rFonts w:ascii="Arial" w:hAnsi="Arial"/>
          <w:b w:val="0"/>
          <w:color w:val="222222"/>
          <w:sz w:val="22"/>
        </w:rPr>
        <w:t>The cost analysis supports strategic financial decisions by identifying cost drivers and improving resource allocation. It focuses on monitoring expenditure trends and uncovering cost reduction opportunities. Key areas include personnel expenses, technology infrastructure, operational costs, product development, and sales and marketing expenditures. Ensuring expenses align with turabit’s financial planning and growth objectives enhances operational efficiency and profitability.</w:t>
      </w:r>
    </w:p>
    <w:p>
      <w:pPr>
        <w:spacing w:after="160"/>
      </w:pPr>
    </w:p>
    <w:p>
      <w:pPr>
        <w:spacing w:before="280" w:after="120"/>
      </w:pPr>
      <w:r>
        <w:rPr>
          <w:rFonts w:ascii="Arial" w:hAnsi="Arial"/>
          <w:b/>
          <w:color w:val="2E4057"/>
          <w:sz w:val="26"/>
        </w:rPr>
        <w:t>Cost Categories Overview</w:t>
      </w:r>
    </w:p>
    <w:p>
      <w:pPr>
        <w:spacing w:after="120"/>
      </w:pPr>
      <w:r>
        <w:rPr>
          <w:rFonts w:ascii="Arial" w:hAnsi="Arial"/>
          <w:b w:val="0"/>
          <w:color w:val="222222"/>
          <w:sz w:val="22"/>
        </w:rPr>
        <w:t>turabit’s cost structure for the current fiscal year is categorized into five main areas reflecting operational priorities and strategic investments.</w:t>
      </w:r>
    </w:p>
    <w:p>
      <w:pPr>
        <w:spacing w:after="80"/>
      </w:pPr>
    </w:p>
    <w:p>
      <w:pPr>
        <w:spacing w:after="80"/>
        <w:ind w:left="360"/>
      </w:pPr>
      <w:r>
        <w:rPr>
          <w:rFonts w:ascii="Arial" w:hAnsi="Arial"/>
          <w:b w:val="0"/>
          <w:color w:val="222222"/>
          <w:sz w:val="22"/>
        </w:rPr>
        <w:t>1. Personnel and Employee Compensation – 42%</w:t>
      </w:r>
    </w:p>
    <w:p>
      <w:pPr>
        <w:spacing w:after="80"/>
        <w:ind w:left="360"/>
      </w:pPr>
      <w:r>
        <w:rPr>
          <w:rFonts w:ascii="Arial" w:hAnsi="Arial"/>
          <w:b w:val="0"/>
          <w:color w:val="222222"/>
          <w:sz w:val="22"/>
        </w:rPr>
        <w:t>2. Technology Infrastructure and Cloud Services – 23%</w:t>
      </w:r>
    </w:p>
    <w:p>
      <w:pPr>
        <w:spacing w:after="80"/>
        <w:ind w:left="360"/>
      </w:pPr>
      <w:r>
        <w:rPr>
          <w:rFonts w:ascii="Arial" w:hAnsi="Arial"/>
          <w:b w:val="0"/>
          <w:color w:val="222222"/>
          <w:sz w:val="22"/>
        </w:rPr>
        <w:t>3. Product Development and Research – 16%</w:t>
      </w:r>
    </w:p>
    <w:p>
      <w:pPr>
        <w:spacing w:after="80"/>
        <w:ind w:left="360"/>
      </w:pPr>
      <w:r>
        <w:rPr>
          <w:rFonts w:ascii="Arial" w:hAnsi="Arial"/>
          <w:b w:val="0"/>
          <w:color w:val="222222"/>
          <w:sz w:val="22"/>
        </w:rPr>
        <w:t>4. Sales and Marketing Expenses – 12%</w:t>
      </w:r>
    </w:p>
    <w:p>
      <w:pPr>
        <w:spacing w:after="80"/>
        <w:ind w:left="360"/>
      </w:pPr>
      <w:r>
        <w:rPr>
          <w:rFonts w:ascii="Arial" w:hAnsi="Arial"/>
          <w:b w:val="0"/>
          <w:color w:val="222222"/>
          <w:sz w:val="22"/>
        </w:rPr>
        <w:t>5. Administrative and Operational Costs – 7%</w:t>
      </w:r>
    </w:p>
    <w:p>
      <w:pPr>
        <w:spacing w:after="160"/>
      </w:pPr>
    </w:p>
    <w:p>
      <w:pPr>
        <w:spacing w:before="280" w:after="120"/>
      </w:pPr>
      <w:r>
        <w:rPr>
          <w:rFonts w:ascii="Arial" w:hAnsi="Arial"/>
          <w:b/>
          <w:color w:val="2E4057"/>
          <w:sz w:val="26"/>
        </w:rPr>
        <w:t>Direct Costs Breakdown</w:t>
      </w:r>
    </w:p>
    <w:p>
      <w:pPr>
        <w:spacing w:after="120"/>
      </w:pPr>
      <w:r>
        <w:rPr>
          <w:rFonts w:ascii="Arial" w:hAnsi="Arial"/>
          <w:b w:val="0"/>
          <w:color w:val="222222"/>
          <w:sz w:val="22"/>
        </w:rPr>
        <w:t>Direct costs for the period 01 April 2025 to 31 March 2026 total INR 4,340,000. These include:</w:t>
      </w:r>
    </w:p>
    <w:p>
      <w:pPr>
        <w:spacing w:after="80"/>
      </w:pPr>
    </w:p>
    <w:p>
      <w:pPr>
        <w:spacing w:after="80"/>
        <w:ind w:left="360"/>
      </w:pPr>
      <w:r>
        <w:rPr>
          <w:rFonts w:ascii="Arial" w:hAnsi="Arial"/>
          <w:b w:val="0"/>
          <w:color w:val="222222"/>
          <w:sz w:val="22"/>
        </w:rPr>
        <w:t>1. Personnel Costs for Product Development: INR 2,150,000</w:t>
      </w:r>
    </w:p>
    <w:p>
      <w:pPr>
        <w:spacing w:after="80"/>
        <w:ind w:left="360"/>
      </w:pPr>
      <w:r>
        <w:rPr>
          <w:rFonts w:ascii="Arial" w:hAnsi="Arial"/>
          <w:b w:val="0"/>
          <w:color w:val="222222"/>
          <w:sz w:val="22"/>
        </w:rPr>
        <w:t>2. Cloud Infrastructure and Hosting Services: INR 1,120,000</w:t>
      </w:r>
    </w:p>
    <w:p>
      <w:pPr>
        <w:spacing w:after="80"/>
        <w:ind w:left="360"/>
      </w:pPr>
      <w:r>
        <w:rPr>
          <w:rFonts w:ascii="Arial" w:hAnsi="Arial"/>
          <w:b w:val="0"/>
          <w:color w:val="222222"/>
          <w:sz w:val="22"/>
        </w:rPr>
        <w:t>3. Software Development Tools and Licenses: INR 540,000</w:t>
      </w:r>
    </w:p>
    <w:p>
      <w:pPr>
        <w:spacing w:after="80"/>
        <w:ind w:left="360"/>
      </w:pPr>
      <w:r>
        <w:rPr>
          <w:rFonts w:ascii="Arial" w:hAnsi="Arial"/>
          <w:b w:val="0"/>
          <w:color w:val="222222"/>
          <w:sz w:val="22"/>
        </w:rPr>
        <w:t>4. Third-Party API and Integration Services: INR 320,000</w:t>
      </w:r>
    </w:p>
    <w:p>
      <w:pPr>
        <w:spacing w:after="80"/>
        <w:ind w:left="360"/>
      </w:pPr>
      <w:r>
        <w:rPr>
          <w:rFonts w:ascii="Arial" w:hAnsi="Arial"/>
          <w:b w:val="0"/>
          <w:color w:val="222222"/>
          <w:sz w:val="22"/>
        </w:rPr>
        <w:t>5. Quality Assurance and Testing Services: INR 210,000</w:t>
      </w:r>
    </w:p>
    <w:p>
      <w:pPr>
        <w:spacing w:after="80"/>
      </w:pPr>
    </w:p>
    <w:p>
      <w:pPr>
        <w:spacing w:after="120"/>
      </w:pPr>
      <w:r>
        <w:rPr>
          <w:rFonts w:ascii="Arial" w:hAnsi="Arial"/>
          <w:b w:val="0"/>
          <w:color w:val="222222"/>
          <w:sz w:val="22"/>
        </w:rPr>
        <w:t>Costs are allocated based on usage, project tracking, and departmental reporting verified by Finance.</w:t>
      </w:r>
    </w:p>
    <w:p>
      <w:pPr>
        <w:spacing w:after="160"/>
      </w:pPr>
    </w:p>
    <w:p>
      <w:pPr>
        <w:spacing w:before="280" w:after="120"/>
      </w:pPr>
      <w:r>
        <w:rPr>
          <w:rFonts w:ascii="Arial" w:hAnsi="Arial"/>
          <w:b/>
          <w:color w:val="2E4057"/>
          <w:sz w:val="26"/>
        </w:rPr>
        <w:t>Indirect Costs Breakdown</w:t>
      </w:r>
    </w:p>
    <w:p>
      <w:pPr>
        <w:spacing w:after="120"/>
      </w:pPr>
      <w:r>
        <w:rPr>
          <w:rFonts w:ascii="Arial" w:hAnsi="Arial"/>
          <w:b w:val="0"/>
          <w:color w:val="222222"/>
          <w:sz w:val="22"/>
        </w:rPr>
        <w:t>Indirect costs incurred by turabit total INR 1,820,000, distributed as follows: 1. Administrative and Office Operations – INR 620,000 (34%) 2. Human Resources and Employee Management – INR 410,000 (23%) 3. Finance, Legal, and Compliance Services – INR 330,000 (18%) 4. IT Support and Internal Systems Maintenance – INR 290,000 (16%) 5. General Corporate Overheads – INR 170,000 (9%).</w:t>
      </w:r>
    </w:p>
    <w:p>
      <w:pPr>
        <w:spacing w:after="160"/>
      </w:pPr>
    </w:p>
    <w:p>
      <w:pPr>
        <w:spacing w:before="280" w:after="120"/>
      </w:pPr>
      <w:r>
        <w:rPr>
          <w:rFonts w:ascii="Arial" w:hAnsi="Arial"/>
          <w:b/>
          <w:color w:val="2E4057"/>
          <w:sz w:val="26"/>
        </w:rPr>
        <w:t>Cost Comparison Analysis</w:t>
      </w:r>
    </w:p>
    <w:p>
      <w:pPr>
        <w:spacing w:after="120"/>
      </w:pPr>
      <w:r>
        <w:rPr>
          <w:rFonts w:ascii="Arial" w:hAnsi="Arial"/>
          <w:b w:val="0"/>
          <w:color w:val="222222"/>
          <w:sz w:val="22"/>
        </w:rPr>
        <w:t>The following table presents a detailed cost comparison analysis between current and projected expenses, highlighting potential savings opportunities for turabit’s Finance department.</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Cost Component</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Current Cost</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Projected Cost</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Savings Opportunity</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Personnel Expenses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2150000.00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2080000.00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70000.00</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Cloud Infrastructure Services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1120000.00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980000.00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140000.00</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Software Licenses and Development Tools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540000.00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500000.00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40000.00</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Third-Party API Services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320000.00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290000.00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30000.00</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Quality Assurance and Testing Services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210000.00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195000.00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15000.00</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Office and Administrative Operations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420000.00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390000.00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30000.00</w:t>
            </w:r>
          </w:p>
        </w:tc>
      </w:tr>
    </w:tbl>
    <w:p>
      <w:pPr>
        <w:spacing w:after="120"/>
      </w:pPr>
    </w:p>
    <w:p>
      <w:pPr>
        <w:spacing w:after="160"/>
      </w:pPr>
    </w:p>
    <w:p>
      <w:pPr>
        <w:spacing w:before="280" w:after="120"/>
      </w:pPr>
      <w:r>
        <w:rPr>
          <w:rFonts w:ascii="Arial" w:hAnsi="Arial"/>
          <w:b/>
          <w:color w:val="2E4057"/>
          <w:sz w:val="26"/>
        </w:rPr>
        <w:t>Cost Drivers Identification</w:t>
      </w:r>
    </w:p>
    <w:p>
      <w:pPr>
        <w:spacing w:after="120"/>
      </w:pPr>
      <w:r>
        <w:rPr>
          <w:rFonts w:ascii="Arial" w:hAnsi="Arial"/>
          <w:b w:val="0"/>
          <w:color w:val="222222"/>
          <w:sz w:val="22"/>
        </w:rPr>
        <w:t>Primary cost drivers include personnel expenses for engineering, product development, and operations, cloud infrastructure costs supporting SaaS operations, third-party API integration fees, software tool licenses, and sales and marketing expenditures. Key metrics used are cost per employee, cloud cost per user, API usage cost per transaction, license cost per developer, and customer acquisition cost relative to revenue. Recent increases stem from expanded engineering teams and higher platform usage.</w:t>
      </w:r>
    </w:p>
    <w:p>
      <w:pPr>
        <w:spacing w:after="160"/>
      </w:pPr>
    </w:p>
    <w:p>
      <w:pPr>
        <w:spacing w:before="280" w:after="120"/>
      </w:pPr>
      <w:r>
        <w:rPr>
          <w:rFonts w:ascii="Arial" w:hAnsi="Arial"/>
          <w:b/>
          <w:color w:val="2E4057"/>
          <w:sz w:val="26"/>
        </w:rPr>
        <w:t>Cost Efficiency Evaluation</w:t>
      </w:r>
    </w:p>
    <w:p>
      <w:pPr>
        <w:spacing w:after="120"/>
      </w:pPr>
      <w:r>
        <w:rPr>
          <w:rFonts w:ascii="Arial" w:hAnsi="Arial"/>
          <w:b w:val="0"/>
          <w:color w:val="222222"/>
          <w:sz w:val="22"/>
        </w:rPr>
        <w:t>Cost efficiency was evaluated across Engineering, Cloud Infrastructure, Sales, Finance, and HR departments. Key metrics included operating cost per employee, cloud cost per active user, project cost per release, CAC versus revenue, administrative overhead percentage, and infrastructure utilization rates. The goal was an 8% reduction in operational costs through resource optimization, infrastructure efficiency, and controlled administrative spending during the evaluation period.</w:t>
      </w:r>
    </w:p>
    <w:p>
      <w:pPr>
        <w:spacing w:after="160"/>
      </w:pPr>
    </w:p>
    <w:p>
      <w:pPr>
        <w:spacing w:before="280" w:after="120"/>
      </w:pPr>
      <w:r>
        <w:rPr>
          <w:rFonts w:ascii="Arial" w:hAnsi="Arial"/>
          <w:b/>
          <w:color w:val="2E4057"/>
          <w:sz w:val="26"/>
        </w:rPr>
        <w:t>Key Findings</w:t>
      </w:r>
    </w:p>
    <w:p>
      <w:pPr>
        <w:spacing w:after="120"/>
      </w:pPr>
      <w:r>
        <w:rPr>
          <w:rFonts w:ascii="Arial" w:hAnsi="Arial"/>
          <w:b w:val="0"/>
          <w:color w:val="222222"/>
          <w:sz w:val="22"/>
        </w:rPr>
        <w:t>The analysis identified three primary cost drivers: cloud infrastructure expenses, software licensing fees, and employee compensation. Overall costs increased by approximately 8% compared to the previous period, driven mainly by scaling operations. Cost-saving initiatives included vendor contract renegotiations and process automation, yielding an estimated 5% reduction in operational expenses. Continued monitoring is recommended to sustain financial efficiency.</w:t>
      </w:r>
    </w:p>
    <w:p>
      <w:pPr>
        <w:spacing w:after="160"/>
      </w:pPr>
    </w:p>
    <w:p>
      <w:pPr>
        <w:spacing w:before="280" w:after="120"/>
      </w:pPr>
      <w:r>
        <w:rPr>
          <w:rFonts w:ascii="Arial" w:hAnsi="Arial"/>
          <w:b/>
          <w:color w:val="2E4057"/>
          <w:sz w:val="26"/>
        </w:rPr>
        <w:t>Recommendations for Cost Optimization</w:t>
      </w:r>
    </w:p>
    <w:p>
      <w:pPr>
        <w:spacing w:after="120"/>
      </w:pPr>
      <w:r>
        <w:rPr>
          <w:rFonts w:ascii="Arial" w:hAnsi="Arial"/>
          <w:b w:val="0"/>
          <w:color w:val="222222"/>
          <w:sz w:val="22"/>
        </w:rPr>
        <w:t>Focus on optimizing major expense areas such as cloud infrastructure, software licensing, and vendor contracts to improve cost efficiency. Implement regular expense audits and negotiate better terms with suppliers. Explore automation opportunities to reduce manual processing costs. Establish clear cost-saving targets aligned with industry benchmarks. Continuously monitor performance metrics to ensure ongoing alignment with organizational financial goals and market conditions.</w:t>
      </w:r>
    </w:p>
    <w:p>
      <w:pPr>
        <w:spacing w:after="160"/>
      </w:pPr>
    </w:p>
    <w:p>
      <w:pPr>
        <w:spacing w:before="280" w:after="120"/>
      </w:pPr>
      <w:r>
        <w:rPr>
          <w:rFonts w:ascii="Arial" w:hAnsi="Arial"/>
          <w:b/>
          <w:color w:val="2E4057"/>
          <w:sz w:val="26"/>
        </w:rPr>
        <w:t>Approval and Review</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Cost Analyst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Financial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Cost Analysis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Cost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