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Financial Statement Summary</w:t>
      </w:r>
    </w:p>
    <w:p>
      <w:pPr>
        <w:spacing w:after="240"/>
      </w:pPr>
      <w:r>
        <w:rPr>
          <w:rFonts w:ascii="Arial" w:hAnsi="Arial"/>
          <w:b w:val="0"/>
          <w:color w:val="888888"/>
          <w:sz w:val="20"/>
        </w:rPr>
        <w:t>turabit  ·  Finance  ·  India</w:t>
      </w:r>
    </w:p>
    <w:p>
      <w:pPr>
        <w:spacing w:after="280"/>
        <w:pBdr>
          <w:bottom w:val="single" w:sz="6" w:space="1" w:color="2E4057"/>
        </w:pBdr>
      </w:pPr>
    </w:p>
    <w:p>
      <w:pPr>
        <w:spacing w:before="280" w:after="120"/>
      </w:pPr>
      <w:r>
        <w:rPr>
          <w:rFonts w:ascii="Arial" w:hAnsi="Arial"/>
          <w:b/>
          <w:color w:val="2E4057"/>
          <w:sz w:val="26"/>
        </w:rPr>
        <w:t>Report Information</w:t>
      </w:r>
    </w:p>
    <w:p>
      <w:pPr>
        <w:spacing w:after="120"/>
      </w:pPr>
      <w:r>
        <w:rPr>
          <w:rFonts w:ascii="Arial" w:hAnsi="Arial"/>
          <w:b w:val="0"/>
          <w:color w:val="222222"/>
          <w:sz w:val="22"/>
        </w:rPr>
        <w:t>The Financial Statement Summary for turabit covers the fiscal year ending March 31, 2024. The report has been prepared by the Finance Department in accordance with applicable accounting standards and regulatory requirements. The authorized signatory is the Chief Financial Officer, ensuring accuracy and compliance of all financial data presented herein.</w:t>
      </w:r>
    </w:p>
    <w:p>
      <w:pPr>
        <w:spacing w:after="160"/>
      </w:pPr>
    </w:p>
    <w:p>
      <w:pPr>
        <w:spacing w:before="280" w:after="120"/>
      </w:pPr>
      <w:r>
        <w:rPr>
          <w:rFonts w:ascii="Arial" w:hAnsi="Arial"/>
          <w:b/>
          <w:color w:val="2E4057"/>
          <w:sz w:val="26"/>
        </w:rPr>
        <w:t>Company Overview</w:t>
      </w:r>
    </w:p>
    <w:p>
      <w:pPr>
        <w:spacing w:after="120"/>
      </w:pPr>
      <w:r>
        <w:rPr>
          <w:rFonts w:ascii="Arial" w:hAnsi="Arial"/>
          <w:b w:val="0"/>
          <w:color w:val="222222"/>
          <w:sz w:val="22"/>
        </w:rPr>
        <w:t>turabit operates within India’s technology and SaaS sector, focusing on enterprise AI documentation and workflow automation solutions. The company’s fiscal year ends on 31 March. Primary revenue streams include 1. AI documentation software subscriptions 2. Custom software development 3. SaaS platform licensing 4. AI consulting services 5. Technical support and maintenance contracts.</w:t>
      </w:r>
    </w:p>
    <w:p>
      <w:pPr>
        <w:spacing w:after="160"/>
      </w:pPr>
    </w:p>
    <w:p>
      <w:pPr>
        <w:spacing w:before="280" w:after="120"/>
      </w:pPr>
      <w:r>
        <w:rPr>
          <w:rFonts w:ascii="Arial" w:hAnsi="Arial"/>
          <w:b/>
          <w:color w:val="2E4057"/>
          <w:sz w:val="26"/>
        </w:rPr>
        <w:t>Revenue Summary</w:t>
      </w:r>
    </w:p>
    <w:p>
      <w:pPr>
        <w:spacing w:after="120"/>
      </w:pPr>
      <w:r>
        <w:rPr>
          <w:rFonts w:ascii="Arial" w:hAnsi="Arial"/>
          <w:b w:val="0"/>
          <w:color w:val="222222"/>
          <w:sz w:val="22"/>
        </w:rPr>
        <w:t>Total revenue for the reporting period amounted to USD 5,480,000. Key revenue streams include:</w:t>
      </w:r>
    </w:p>
    <w:p>
      <w:pPr>
        <w:spacing w:after="80"/>
      </w:pPr>
    </w:p>
    <w:p>
      <w:pPr>
        <w:spacing w:after="80"/>
        <w:ind w:left="360"/>
      </w:pPr>
      <w:r>
        <w:rPr>
          <w:rFonts w:ascii="Arial" w:hAnsi="Arial"/>
          <w:b w:val="0"/>
          <w:color w:val="222222"/>
          <w:sz w:val="22"/>
        </w:rPr>
        <w:t>1. Enterprise AI documentation software subscriptions</w:t>
      </w:r>
    </w:p>
    <w:p>
      <w:pPr>
        <w:spacing w:after="80"/>
        <w:ind w:left="360"/>
      </w:pPr>
      <w:r>
        <w:rPr>
          <w:rFonts w:ascii="Arial" w:hAnsi="Arial"/>
          <w:b w:val="0"/>
          <w:color w:val="222222"/>
          <w:sz w:val="22"/>
        </w:rPr>
        <w:t>2. Custom software development and system integration services</w:t>
      </w:r>
    </w:p>
    <w:p>
      <w:pPr>
        <w:spacing w:after="80"/>
        <w:ind w:left="360"/>
      </w:pPr>
      <w:r>
        <w:rPr>
          <w:rFonts w:ascii="Arial" w:hAnsi="Arial"/>
          <w:b w:val="0"/>
          <w:color w:val="222222"/>
          <w:sz w:val="22"/>
        </w:rPr>
        <w:t>3. SaaS platform licensing for enterprise workflow automation</w:t>
      </w:r>
    </w:p>
    <w:p>
      <w:pPr>
        <w:spacing w:after="80"/>
        <w:ind w:left="360"/>
      </w:pPr>
      <w:r>
        <w:rPr>
          <w:rFonts w:ascii="Arial" w:hAnsi="Arial"/>
          <w:b w:val="0"/>
          <w:color w:val="222222"/>
          <w:sz w:val="22"/>
        </w:rPr>
        <w:t>4. AI consulting and enterprise implementation services</w:t>
      </w:r>
    </w:p>
    <w:p>
      <w:pPr>
        <w:spacing w:after="80"/>
        <w:ind w:left="360"/>
      </w:pPr>
      <w:r>
        <w:rPr>
          <w:rFonts w:ascii="Arial" w:hAnsi="Arial"/>
          <w:b w:val="0"/>
          <w:color w:val="222222"/>
          <w:sz w:val="22"/>
        </w:rPr>
        <w:t>5. Technical support, maintenance, and managed service agreements</w:t>
      </w:r>
    </w:p>
    <w:p>
      <w:pPr>
        <w:spacing w:after="160"/>
      </w:pPr>
    </w:p>
    <w:p>
      <w:pPr>
        <w:spacing w:before="280" w:after="120"/>
      </w:pPr>
      <w:r>
        <w:rPr>
          <w:rFonts w:ascii="Arial" w:hAnsi="Arial"/>
          <w:b/>
          <w:color w:val="2E4057"/>
          <w:sz w:val="26"/>
        </w:rPr>
        <w:t>Expense Summary</w:t>
      </w:r>
    </w:p>
    <w:p>
      <w:pPr>
        <w:spacing w:after="120"/>
      </w:pPr>
      <w:r>
        <w:rPr>
          <w:rFonts w:ascii="Arial" w:hAnsi="Arial"/>
          <w:b w:val="0"/>
          <w:color w:val="222222"/>
          <w:sz w:val="22"/>
        </w:rPr>
        <w:t>During the reporting period from 01 April 2026 to 30 June 2026, total expenses were categorized as follows:</w:t>
      </w:r>
    </w:p>
    <w:p>
      <w:pPr>
        <w:spacing w:after="80"/>
      </w:pPr>
    </w:p>
    <w:p>
      <w:pPr>
        <w:spacing w:after="80"/>
        <w:ind w:left="360"/>
      </w:pPr>
      <w:r>
        <w:rPr>
          <w:rFonts w:ascii="Arial" w:hAnsi="Arial"/>
          <w:b w:val="0"/>
          <w:color w:val="222222"/>
          <w:sz w:val="22"/>
        </w:rPr>
        <w:t>1. Research and Development: USD 1,150,000</w:t>
      </w:r>
    </w:p>
    <w:p>
      <w:pPr>
        <w:spacing w:after="80"/>
        <w:ind w:left="360"/>
      </w:pPr>
      <w:r>
        <w:rPr>
          <w:rFonts w:ascii="Arial" w:hAnsi="Arial"/>
          <w:b w:val="0"/>
          <w:color w:val="222222"/>
          <w:sz w:val="22"/>
        </w:rPr>
        <w:t>2. Sales and Marketing: USD 920,000</w:t>
      </w:r>
    </w:p>
    <w:p>
      <w:pPr>
        <w:spacing w:after="80"/>
        <w:ind w:left="360"/>
      </w:pPr>
      <w:r>
        <w:rPr>
          <w:rFonts w:ascii="Arial" w:hAnsi="Arial"/>
          <w:b w:val="0"/>
          <w:color w:val="222222"/>
          <w:sz w:val="22"/>
        </w:rPr>
        <w:t>3. General and Administrative: USD 680,000</w:t>
      </w:r>
    </w:p>
    <w:p>
      <w:pPr>
        <w:spacing w:after="80"/>
        <w:ind w:left="360"/>
      </w:pPr>
      <w:r>
        <w:rPr>
          <w:rFonts w:ascii="Arial" w:hAnsi="Arial"/>
          <w:b w:val="0"/>
          <w:color w:val="222222"/>
          <w:sz w:val="22"/>
        </w:rPr>
        <w:t>4. Technology Infrastructure and Cloud Services: USD 540,000</w:t>
      </w:r>
    </w:p>
    <w:p>
      <w:pPr>
        <w:spacing w:after="80"/>
        <w:ind w:left="360"/>
      </w:pPr>
      <w:r>
        <w:rPr>
          <w:rFonts w:ascii="Arial" w:hAnsi="Arial"/>
          <w:b w:val="0"/>
          <w:color w:val="222222"/>
          <w:sz w:val="22"/>
        </w:rPr>
        <w:t>5. Customer Support and Operations: USD 310,000</w:t>
      </w:r>
    </w:p>
    <w:p>
      <w:pPr>
        <w:spacing w:after="160"/>
      </w:pPr>
    </w:p>
    <w:p>
      <w:pPr>
        <w:spacing w:before="280" w:after="120"/>
      </w:pPr>
      <w:r>
        <w:rPr>
          <w:rFonts w:ascii="Arial" w:hAnsi="Arial"/>
          <w:b/>
          <w:color w:val="2E4057"/>
          <w:sz w:val="26"/>
        </w:rPr>
        <w:t>Profit or Loss Overview</w:t>
      </w:r>
    </w:p>
    <w:p>
      <w:pPr>
        <w:spacing w:after="120"/>
      </w:pPr>
      <w:r>
        <w:rPr>
          <w:rFonts w:ascii="Arial" w:hAnsi="Arial"/>
          <w:b w:val="0"/>
          <w:color w:val="222222"/>
          <w:sz w:val="22"/>
        </w:rPr>
        <w:t>For the period April 1 to June 30, 2026, revenue was primarily driven by Enterprise AI Documentation Software Subscriptions (38%) and Custom Software Development Services (27%). Major expenses included Research and Development at USD 1,150,000 and Sales and Marketing at USD 920,000. Profitability reflects focused investment in innovation and market expansion.</w:t>
      </w:r>
    </w:p>
    <w:p>
      <w:pPr>
        <w:spacing w:after="160"/>
      </w:pPr>
    </w:p>
    <w:p>
      <w:pPr>
        <w:spacing w:before="280" w:after="120"/>
      </w:pPr>
      <w:r>
        <w:rPr>
          <w:rFonts w:ascii="Arial" w:hAnsi="Arial"/>
          <w:b/>
          <w:color w:val="2E4057"/>
          <w:sz w:val="26"/>
        </w:rPr>
        <w:t>Asset Summary</w:t>
      </w:r>
    </w:p>
    <w:p>
      <w:pPr>
        <w:spacing w:after="120"/>
      </w:pPr>
      <w:r>
        <w:rPr>
          <w:rFonts w:ascii="Arial" w:hAnsi="Arial"/>
          <w:b w:val="0"/>
          <w:color w:val="222222"/>
          <w:sz w:val="22"/>
        </w:rPr>
        <w:t>As of the reporting date, turabit’s asset portfolio comprises both current and non-current assets, reflecting the company’s operational and strategic investments. Total asset values remain aligned with industry benchmarks. No significant impairments or revaluations have been identified during the period. Detailed asset breakdowns are maintained in internal financial records for accuracy and compliance.</w:t>
      </w:r>
    </w:p>
    <w:p>
      <w:pPr>
        <w:spacing w:after="160"/>
      </w:pPr>
    </w:p>
    <w:p>
      <w:pPr>
        <w:spacing w:before="280" w:after="120"/>
      </w:pPr>
      <w:r>
        <w:rPr>
          <w:rFonts w:ascii="Arial" w:hAnsi="Arial"/>
          <w:b/>
          <w:color w:val="2E4057"/>
          <w:sz w:val="26"/>
        </w:rPr>
        <w:t>Liabilities Summary</w:t>
      </w:r>
    </w:p>
    <w:p>
      <w:pPr>
        <w:spacing w:after="120"/>
      </w:pPr>
      <w:r>
        <w:rPr>
          <w:rFonts w:ascii="Arial" w:hAnsi="Arial"/>
          <w:b w:val="0"/>
          <w:color w:val="222222"/>
          <w:sz w:val="22"/>
        </w:rPr>
        <w:t>As of the reporting date, Turabit’s current liabilities include accounts payable, accrued expenses, and short-term borrowings totaling INR 25 million. Long-term liabilities primarily consist of deferred revenue and long-term debt amounting to INR 40 million. No significant contingent liabilities or off-balance sheet obligations have been identified or disclosed during this period.</w:t>
      </w:r>
    </w:p>
    <w:p>
      <w:pPr>
        <w:spacing w:after="160"/>
      </w:pPr>
    </w:p>
    <w:p>
      <w:pPr>
        <w:spacing w:before="280" w:after="120"/>
      </w:pPr>
      <w:r>
        <w:rPr>
          <w:rFonts w:ascii="Arial" w:hAnsi="Arial"/>
          <w:b/>
          <w:color w:val="2E4057"/>
          <w:sz w:val="26"/>
        </w:rPr>
        <w:t>Financial Performance Highlights</w:t>
      </w:r>
    </w:p>
    <w:p>
      <w:pPr>
        <w:spacing w:after="120"/>
      </w:pPr>
      <w:r>
        <w:rPr>
          <w:rFonts w:ascii="Arial" w:hAnsi="Arial"/>
          <w:b w:val="0"/>
          <w:color w:val="222222"/>
          <w:sz w:val="22"/>
        </w:rPr>
        <w:t>During the reporting period, turabit demonstrated steady financial performance driven by increased subscription revenue and operational efficiencies. Key metrics showed positive trends, with growth in recurring revenue and controlled expenses. Market expansion and product enhancements contributed to stable profitability. Challenges included competitive pricing pressure and investment in technology infrastructure to support scalability and future growth.</w:t>
      </w:r>
    </w:p>
    <w:p>
      <w:pPr>
        <w:spacing w:after="160"/>
      </w:pPr>
    </w:p>
    <w:p>
      <w:pPr>
        <w:spacing w:before="280" w:after="120"/>
      </w:pPr>
      <w:r>
        <w:rPr>
          <w:rFonts w:ascii="Arial" w:hAnsi="Arial"/>
          <w:b/>
          <w:color w:val="2E4057"/>
          <w:sz w:val="26"/>
        </w:rPr>
        <w:t>Financial Ratios or Indicators</w:t>
      </w:r>
    </w:p>
    <w:p>
      <w:pPr>
        <w:spacing w:after="120"/>
      </w:pPr>
      <w:r>
        <w:rPr>
          <w:rFonts w:ascii="Arial" w:hAnsi="Arial"/>
          <w:b w:val="0"/>
          <w:color w:val="222222"/>
          <w:sz w:val="22"/>
        </w:rPr>
        <w:t>turabit monitors key financial ratios including liquidity ratios, profitability margins, and efficiency metrics to assess operational performance. Reporting periods align with quarterly and annual financial statements. Industry benchmarks and internal targets guide comparative analysis, ensuring alignment with technology sector standards and supporting strategic decision-making within the Finance department.</w:t>
      </w:r>
    </w:p>
    <w:p>
      <w:pPr>
        <w:spacing w:after="160"/>
      </w:pPr>
    </w:p>
    <w:p>
      <w:pPr>
        <w:spacing w:before="280" w:after="120"/>
      </w:pPr>
      <w:r>
        <w:rPr>
          <w:rFonts w:ascii="Arial" w:hAnsi="Arial"/>
          <w:b/>
          <w:color w:val="2E4057"/>
          <w:sz w:val="26"/>
        </w:rPr>
        <w:t>Management Commentary</w:t>
      </w:r>
    </w:p>
    <w:p>
      <w:pPr>
        <w:spacing w:after="120"/>
      </w:pPr>
      <w:r>
        <w:rPr>
          <w:rFonts w:ascii="Arial" w:hAnsi="Arial"/>
          <w:b w:val="0"/>
          <w:color w:val="222222"/>
          <w:sz w:val="22"/>
        </w:rPr>
        <w:t>During the reporting period, turabit maintained steady growth amid evolving market dynamics. Key financial metrics reflected operational efficiency and investment in product development. Management remains focused on enhancing SaaS offerings, expanding customer base, and optimizing cost structures. Strategic priorities include innovation, market penetration, and scaling infrastructure to support long-term sustainable growth in the competitive technology sector.</w:t>
      </w:r>
    </w:p>
    <w:p>
      <w:pPr>
        <w:spacing w:after="160"/>
      </w:pPr>
    </w:p>
    <w:p>
      <w:pPr>
        <w:spacing w:before="280" w:after="120"/>
      </w:pPr>
      <w:r>
        <w:rPr>
          <w:rFonts w:ascii="Arial" w:hAnsi="Arial"/>
          <w:b/>
          <w:color w:val="2E4057"/>
          <w:sz w:val="26"/>
        </w:rPr>
        <w:t>Approval and Certification</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Financial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Internal Auditor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Financial Statement Summary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Financial Statement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