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Performance Review Report</w:t>
      </w:r>
    </w:p>
    <w:p>
      <w:pPr>
        <w:spacing w:after="240"/>
      </w:pPr>
      <w:r>
        <w:rPr>
          <w:rFonts w:ascii="Arial" w:hAnsi="Arial"/>
          <w:b w:val="0"/>
          <w:color w:val="888888"/>
          <w:sz w:val="20"/>
        </w:rPr>
        <w:t>turabit  ·  HR  ·  India</w:t>
      </w:r>
    </w:p>
    <w:p>
      <w:pPr>
        <w:spacing w:after="280"/>
        <w:pBdr>
          <w:bottom w:val="single" w:sz="6" w:space="1" w:color="2E4057"/>
        </w:pBdr>
      </w:pPr>
    </w:p>
    <w:p>
      <w:pPr>
        <w:spacing w:before="280" w:after="120"/>
      </w:pPr>
      <w:r>
        <w:rPr>
          <w:rFonts w:ascii="Arial" w:hAnsi="Arial"/>
          <w:b/>
          <w:color w:val="2E4057"/>
          <w:sz w:val="26"/>
        </w:rPr>
        <w:t>Document Information</w:t>
      </w:r>
    </w:p>
    <w:p>
      <w:pPr>
        <w:spacing w:after="120"/>
      </w:pPr>
      <w:r>
        <w:rPr>
          <w:rFonts w:ascii="Arial" w:hAnsi="Arial"/>
          <w:b w:val="0"/>
          <w:color w:val="222222"/>
          <w:sz w:val="22"/>
        </w:rPr>
        <w:t>Company: turabit</w:t>
      </w:r>
    </w:p>
    <w:p>
      <w:pPr>
        <w:spacing w:after="120"/>
      </w:pPr>
      <w:r>
        <w:rPr>
          <w:rFonts w:ascii="Arial" w:hAnsi="Arial"/>
          <w:b w:val="0"/>
          <w:color w:val="222222"/>
          <w:sz w:val="22"/>
        </w:rPr>
        <w:t>Department: Human Resources</w:t>
      </w:r>
    </w:p>
    <w:p>
      <w:pPr>
        <w:spacing w:after="120"/>
      </w:pPr>
      <w:r>
        <w:rPr>
          <w:rFonts w:ascii="Arial" w:hAnsi="Arial"/>
          <w:b w:val="0"/>
          <w:color w:val="222222"/>
          <w:sz w:val="22"/>
        </w:rPr>
        <w:t>Industry: Technology / SaaS</w:t>
      </w:r>
    </w:p>
    <w:p>
      <w:pPr>
        <w:spacing w:after="120"/>
      </w:pPr>
      <w:r>
        <w:rPr>
          <w:rFonts w:ascii="Arial" w:hAnsi="Arial"/>
          <w:b w:val="0"/>
          <w:color w:val="222222"/>
          <w:sz w:val="22"/>
        </w:rPr>
        <w:t>Region: India</w:t>
      </w:r>
    </w:p>
    <w:p>
      <w:pPr>
        <w:spacing w:after="80"/>
      </w:pPr>
    </w:p>
    <w:p>
      <w:pPr>
        <w:spacing w:after="120"/>
      </w:pPr>
      <w:r>
        <w:rPr>
          <w:rFonts w:ascii="Arial" w:hAnsi="Arial"/>
          <w:b w:val="0"/>
          <w:color w:val="222222"/>
          <w:sz w:val="22"/>
        </w:rPr>
        <w:t>Effective Date: 01 April 2026</w:t>
      </w:r>
    </w:p>
    <w:p>
      <w:pPr>
        <w:spacing w:after="120"/>
      </w:pPr>
      <w:r>
        <w:rPr>
          <w:rFonts w:ascii="Arial" w:hAnsi="Arial"/>
          <w:b w:val="0"/>
          <w:color w:val="222222"/>
          <w:sz w:val="22"/>
        </w:rPr>
        <w:t>Author / Owner: Human Resources Manager</w:t>
      </w:r>
    </w:p>
    <w:p>
      <w:pPr>
        <w:spacing w:after="120"/>
      </w:pPr>
      <w:r>
        <w:rPr>
          <w:rFonts w:ascii="Arial" w:hAnsi="Arial"/>
          <w:b w:val="0"/>
          <w:color w:val="222222"/>
          <w:sz w:val="22"/>
        </w:rPr>
        <w:t>Version: 1.0</w:t>
      </w:r>
    </w:p>
    <w:p>
      <w:pPr>
        <w:spacing w:after="120"/>
      </w:pPr>
      <w:r>
        <w:rPr>
          <w:rFonts w:ascii="Arial" w:hAnsi="Arial"/>
          <w:b w:val="0"/>
          <w:color w:val="222222"/>
          <w:sz w:val="22"/>
        </w:rPr>
        <w:t>Revision Date: 01 April 2026</w:t>
      </w:r>
    </w:p>
    <w:p>
      <w:pPr>
        <w:spacing w:after="160"/>
      </w:pPr>
    </w:p>
    <w:p>
      <w:pPr>
        <w:spacing w:before="280" w:after="120"/>
      </w:pPr>
      <w:r>
        <w:rPr>
          <w:rFonts w:ascii="Arial" w:hAnsi="Arial"/>
          <w:b/>
          <w:color w:val="2E4057"/>
          <w:sz w:val="26"/>
        </w:rPr>
        <w:t>Employee Information</w:t>
      </w:r>
    </w:p>
    <w:p>
      <w:pPr>
        <w:spacing w:after="120"/>
      </w:pPr>
      <w:r>
        <w:rPr>
          <w:rFonts w:ascii="Arial" w:hAnsi="Arial"/>
          <w:b w:val="0"/>
          <w:color w:val="222222"/>
          <w:sz w:val="22"/>
        </w:rPr>
        <w:t>Alex Morgan, Employee ID EMP-1045, holds the position of Software Development Intern in the Engineering and Product Development department at turabit. Alex joined the company on 01 April 2026 and contributes to various software projects within the Technology and SaaS industry in India.</w:t>
      </w:r>
    </w:p>
    <w:p>
      <w:pPr>
        <w:spacing w:after="160"/>
      </w:pPr>
    </w:p>
    <w:p>
      <w:pPr>
        <w:spacing w:before="280" w:after="120"/>
      </w:pPr>
      <w:r>
        <w:rPr>
          <w:rFonts w:ascii="Arial" w:hAnsi="Arial"/>
          <w:b/>
          <w:color w:val="2E4057"/>
          <w:sz w:val="26"/>
        </w:rPr>
        <w:t>Review Period</w:t>
      </w:r>
    </w:p>
    <w:p>
      <w:pPr>
        <w:spacing w:after="120"/>
      </w:pPr>
      <w:r>
        <w:rPr>
          <w:rFonts w:ascii="Arial" w:hAnsi="Arial"/>
          <w:b w:val="0"/>
          <w:color w:val="222222"/>
          <w:sz w:val="22"/>
        </w:rPr>
        <w:t>The review period covers a six-month duration aligned with turabit’s fiscal calendar. It typically begins on April 1 and concludes on September 30. Specific dates will be confirmed based on departmental schedules and communicated accordingly to all employees involved.</w:t>
      </w:r>
    </w:p>
    <w:p>
      <w:pPr>
        <w:spacing w:after="160"/>
      </w:pPr>
    </w:p>
    <w:p>
      <w:pPr>
        <w:spacing w:before="280" w:after="120"/>
      </w:pPr>
      <w:r>
        <w:rPr>
          <w:rFonts w:ascii="Arial" w:hAnsi="Arial"/>
          <w:b/>
          <w:color w:val="2E4057"/>
          <w:sz w:val="26"/>
        </w:rPr>
        <w:t>Role and Responsibilities Overview</w:t>
      </w:r>
    </w:p>
    <w:p>
      <w:pPr>
        <w:spacing w:after="120"/>
      </w:pPr>
      <w:r>
        <w:rPr>
          <w:rFonts w:ascii="Arial" w:hAnsi="Arial"/>
          <w:b w:val="0"/>
          <w:color w:val="222222"/>
          <w:sz w:val="22"/>
        </w:rPr>
        <w:t>Employees are responsible for participating actively in the performance review process by providing self-assessments and feedback. HR oversees compliance, ensuring timely evaluations, documentation accuracy, and adherence to company policies to maintain transparency and fairness throughout the review cycle.</w:t>
      </w:r>
    </w:p>
    <w:p>
      <w:pPr>
        <w:spacing w:after="160"/>
      </w:pPr>
    </w:p>
    <w:p>
      <w:pPr>
        <w:spacing w:before="280" w:after="120"/>
      </w:pPr>
      <w:r>
        <w:rPr>
          <w:rFonts w:ascii="Arial" w:hAnsi="Arial"/>
          <w:b/>
          <w:color w:val="2E4057"/>
          <w:sz w:val="26"/>
        </w:rPr>
        <w:t>Performance Objectives and Goals</w:t>
      </w:r>
    </w:p>
    <w:p>
      <w:pPr>
        <w:spacing w:after="80"/>
        <w:ind w:left="360"/>
      </w:pPr>
      <w:r>
        <w:rPr>
          <w:rFonts w:ascii="Arial" w:hAnsi="Arial"/>
          <w:b w:val="0"/>
          <w:color w:val="222222"/>
          <w:sz w:val="22"/>
        </w:rPr>
        <w:t>1. Ensure timely recruitment and onboarding within approved timelines.</w:t>
      </w:r>
    </w:p>
    <w:p>
      <w:pPr>
        <w:spacing w:after="80"/>
        <w:ind w:left="360"/>
      </w:pPr>
      <w:r>
        <w:rPr>
          <w:rFonts w:ascii="Arial" w:hAnsi="Arial"/>
          <w:b w:val="0"/>
          <w:color w:val="222222"/>
          <w:sz w:val="22"/>
        </w:rPr>
        <w:t>2. Maintain accurate employee records and HR documentation.</w:t>
      </w:r>
    </w:p>
    <w:p>
      <w:pPr>
        <w:spacing w:after="80"/>
        <w:ind w:left="360"/>
      </w:pPr>
      <w:r>
        <w:rPr>
          <w:rFonts w:ascii="Arial" w:hAnsi="Arial"/>
          <w:b w:val="0"/>
          <w:color w:val="222222"/>
          <w:sz w:val="22"/>
        </w:rPr>
        <w:t>3. Support employee engagement and workplace culture initiatives.</w:t>
      </w:r>
    </w:p>
    <w:p>
      <w:pPr>
        <w:spacing w:after="80"/>
        <w:ind w:left="360"/>
      </w:pPr>
      <w:r>
        <w:rPr>
          <w:rFonts w:ascii="Arial" w:hAnsi="Arial"/>
          <w:b w:val="0"/>
          <w:color w:val="222222"/>
          <w:sz w:val="22"/>
        </w:rPr>
        <w:t>4. Ensure compliance with policies and regulations.</w:t>
      </w:r>
    </w:p>
    <w:p>
      <w:pPr>
        <w:spacing w:after="80"/>
        <w:ind w:left="360"/>
      </w:pPr>
      <w:r>
        <w:rPr>
          <w:rFonts w:ascii="Arial" w:hAnsi="Arial"/>
          <w:b w:val="0"/>
          <w:color w:val="222222"/>
          <w:sz w:val="22"/>
        </w:rPr>
        <w:t>5. Resolve employee inquiries efficiently.</w:t>
      </w:r>
    </w:p>
    <w:p>
      <w:pPr>
        <w:spacing w:after="80"/>
        <w:ind w:left="360"/>
      </w:pPr>
      <w:r>
        <w:rPr>
          <w:rFonts w:ascii="Arial" w:hAnsi="Arial"/>
          <w:b w:val="0"/>
          <w:color w:val="222222"/>
          <w:sz w:val="22"/>
        </w:rPr>
        <w:t>6. Measure performance over six months.</w:t>
      </w:r>
    </w:p>
    <w:p>
      <w:pPr>
        <w:spacing w:after="160"/>
      </w:pPr>
    </w:p>
    <w:p>
      <w:pPr>
        <w:spacing w:before="280" w:after="120"/>
      </w:pPr>
      <w:r>
        <w:rPr>
          <w:rFonts w:ascii="Arial" w:hAnsi="Arial"/>
          <w:b/>
          <w:color w:val="2E4057"/>
          <w:sz w:val="26"/>
        </w:rPr>
        <w:t>Performance Evaluation Summary</w:t>
      </w:r>
    </w:p>
    <w:p>
      <w:pPr>
        <w:spacing w:after="120"/>
      </w:pPr>
      <w:r>
        <w:rPr>
          <w:rFonts w:ascii="Arial" w:hAnsi="Arial"/>
          <w:b w:val="0"/>
          <w:color w:val="222222"/>
          <w:sz w:val="22"/>
        </w:rPr>
        <w:t>Employee performance was evaluated based on goal achievement, work quality, productivity, teamwork, communication, and policy compliance. Ten percent rated outstanding, twenty-five percent exceeded expectations, fifty percent met expectations, ten percent need improvement, and five percent were unsatisfactory.</w:t>
      </w:r>
    </w:p>
    <w:p>
      <w:pPr>
        <w:spacing w:after="160"/>
      </w:pPr>
    </w:p>
    <w:p>
      <w:pPr>
        <w:spacing w:before="280" w:after="120"/>
      </w:pPr>
      <w:r>
        <w:rPr>
          <w:rFonts w:ascii="Arial" w:hAnsi="Arial"/>
          <w:b/>
          <w:color w:val="2E4057"/>
          <w:sz w:val="26"/>
        </w:rPr>
        <w:t>Key Achievements</w:t>
      </w:r>
    </w:p>
    <w:p>
      <w:pPr>
        <w:spacing w:after="120"/>
      </w:pPr>
      <w:r>
        <w:rPr>
          <w:rFonts w:ascii="Arial" w:hAnsi="Arial"/>
          <w:b w:val="0"/>
          <w:color w:val="222222"/>
          <w:sz w:val="22"/>
        </w:rPr>
        <w:t>Consistently improved talent acquisition efficiency, reducing hiring time by 15%. Led successful implementation of employee engagement programs, increasing satisfaction scores. Recognized for outstanding collaboration in cross-functional projects. Received positive feedback for proactive conflict resolution and team development initiatives.</w:t>
      </w:r>
    </w:p>
    <w:p>
      <w:pPr>
        <w:spacing w:after="160"/>
      </w:pPr>
    </w:p>
    <w:p>
      <w:pPr>
        <w:spacing w:before="280" w:after="120"/>
      </w:pPr>
      <w:r>
        <w:rPr>
          <w:rFonts w:ascii="Arial" w:hAnsi="Arial"/>
          <w:b/>
          <w:color w:val="2E4057"/>
          <w:sz w:val="26"/>
        </w:rPr>
        <w:t>Performance Metrics and Ratings</w:t>
      </w:r>
    </w:p>
    <w:p>
      <w:pPr>
        <w:spacing w:after="120"/>
      </w:pPr>
      <w:r>
        <w:rPr>
          <w:rFonts w:ascii="Arial" w:hAnsi="Arial"/>
          <w:b w:val="0"/>
          <w:color w:val="222222"/>
          <w:sz w:val="22"/>
        </w:rPr>
        <w:t>Employee performance is evaluated using key metrics such as productivity, quality of work, teamwork, and goal achievement. A five-point rating scale categorizes performance levels from Outstanding to Needs Improvement, ensuring consistent and objective assessment aligned with company standards and values.</w:t>
      </w:r>
    </w:p>
    <w:p>
      <w:pPr>
        <w:spacing w:after="160"/>
      </w:pPr>
    </w:p>
    <w:p>
      <w:pPr>
        <w:spacing w:before="280" w:after="120"/>
      </w:pPr>
      <w:r>
        <w:rPr>
          <w:rFonts w:ascii="Arial" w:hAnsi="Arial"/>
          <w:b/>
          <w:color w:val="2E4057"/>
          <w:sz w:val="26"/>
        </w:rPr>
        <w:t>Strengths and Positive Contributions</w:t>
      </w:r>
    </w:p>
    <w:p>
      <w:pPr>
        <w:spacing w:after="120"/>
      </w:pPr>
      <w:r>
        <w:rPr>
          <w:rFonts w:ascii="Arial" w:hAnsi="Arial"/>
          <w:b w:val="0"/>
          <w:color w:val="222222"/>
          <w:sz w:val="22"/>
        </w:rPr>
        <w:t>The employee consistently demonstrates strong collaboration and problem-solving skills, contributing effectively to team projects. They have shown dedication to meeting deadlines and adapting to change. Positive feedback from peers highlights their supportive attitude and commitment to company goals.</w:t>
      </w:r>
    </w:p>
    <w:p>
      <w:pPr>
        <w:spacing w:after="160"/>
      </w:pPr>
    </w:p>
    <w:p>
      <w:pPr>
        <w:spacing w:before="280" w:after="120"/>
      </w:pPr>
      <w:r>
        <w:rPr>
          <w:rFonts w:ascii="Arial" w:hAnsi="Arial"/>
          <w:b/>
          <w:color w:val="2E4057"/>
          <w:sz w:val="26"/>
        </w:rPr>
        <w:t>Areas for Improvement</w:t>
      </w:r>
    </w:p>
    <w:p>
      <w:pPr>
        <w:spacing w:after="120"/>
      </w:pPr>
      <w:r>
        <w:rPr>
          <w:rFonts w:ascii="Arial" w:hAnsi="Arial"/>
          <w:b w:val="0"/>
          <w:color w:val="222222"/>
          <w:sz w:val="22"/>
        </w:rPr>
        <w:t>The employee should focus on enhancing time management and communication skills to improve team collaboration and project delivery. Additionally, aligning individual goals with department objectives will support overall performance. Strengthening technical proficiency relevant to current SaaS offerings is recommended.</w:t>
      </w:r>
    </w:p>
    <w:p>
      <w:pPr>
        <w:spacing w:after="160"/>
      </w:pPr>
    </w:p>
    <w:p>
      <w:pPr>
        <w:spacing w:before="280" w:after="120"/>
      </w:pPr>
      <w:r>
        <w:rPr>
          <w:rFonts w:ascii="Arial" w:hAnsi="Arial"/>
          <w:b/>
          <w:color w:val="2E4057"/>
          <w:sz w:val="26"/>
        </w:rPr>
        <w:t>Manager Feedback and Comments</w:t>
      </w:r>
    </w:p>
    <w:p>
      <w:pPr>
        <w:spacing w:after="120"/>
      </w:pPr>
      <w:r>
        <w:rPr>
          <w:rFonts w:ascii="Arial" w:hAnsi="Arial"/>
          <w:b w:val="0"/>
          <w:color w:val="222222"/>
          <w:sz w:val="22"/>
        </w:rPr>
        <w:t>Manager feedback should address key competencies such as communication, teamwork, problem-solving, and goal achievement. Comments must offer constructive insights, highlight strengths, identify areas for improvement, and align with company values and performance objectives to support employee development effectively.</w:t>
      </w:r>
    </w:p>
    <w:p>
      <w:pPr>
        <w:spacing w:after="160"/>
      </w:pPr>
    </w:p>
    <w:p>
      <w:pPr>
        <w:spacing w:before="280" w:after="120"/>
      </w:pPr>
      <w:r>
        <w:rPr>
          <w:rFonts w:ascii="Arial" w:hAnsi="Arial"/>
          <w:b/>
          <w:color w:val="2E4057"/>
          <w:sz w:val="26"/>
        </w:rPr>
        <w:t>Employee Self-Assessment (if applicable)</w:t>
      </w:r>
    </w:p>
    <w:p>
      <w:pPr>
        <w:spacing w:after="120"/>
      </w:pPr>
      <w:r>
        <w:rPr>
          <w:rFonts w:ascii="Arial" w:hAnsi="Arial"/>
          <w:b w:val="0"/>
          <w:color w:val="222222"/>
          <w:sz w:val="22"/>
        </w:rPr>
        <w:t>Employees should reflect on their key achievements, challenges faced, and areas for improvement during the review period. They are encouraged to highlight contributions to team goals and personal development. A concise format of approximately 200-300 words is recommended for clarity and focus.</w:t>
      </w:r>
    </w:p>
    <w:p>
      <w:pPr>
        <w:spacing w:after="160"/>
      </w:pPr>
    </w:p>
    <w:p>
      <w:pPr>
        <w:spacing w:before="280" w:after="120"/>
      </w:pPr>
      <w:r>
        <w:rPr>
          <w:rFonts w:ascii="Arial" w:hAnsi="Arial"/>
          <w:b/>
          <w:color w:val="2E4057"/>
          <w:sz w:val="26"/>
        </w:rPr>
        <w:t>Development Plan and Future Goals</w:t>
      </w:r>
    </w:p>
    <w:p>
      <w:pPr>
        <w:spacing w:after="120"/>
      </w:pPr>
      <w:r>
        <w:rPr>
          <w:rFonts w:ascii="Arial" w:hAnsi="Arial"/>
          <w:b w:val="0"/>
          <w:color w:val="222222"/>
          <w:sz w:val="22"/>
        </w:rPr>
        <w:t>The employee aims to enhance leadership and technical skills relevant to SaaS solutions. Turabit will offer targeted training and mentorship programs. Progress will be assessed through quarterly performance metrics, goal completion rates, and feedback from peer and supervisor evaluations to ensure growth.</w:t>
      </w:r>
    </w:p>
    <w:p>
      <w:pPr>
        <w:spacing w:after="160"/>
      </w:pPr>
    </w:p>
    <w:p>
      <w:pPr>
        <w:spacing w:before="280" w:after="120"/>
      </w:pPr>
      <w:r>
        <w:rPr>
          <w:rFonts w:ascii="Arial" w:hAnsi="Arial"/>
          <w:b/>
          <w:color w:val="2E4057"/>
          <w:sz w:val="26"/>
        </w:rPr>
        <w:t>Performance Outcome or Decision</w:t>
      </w:r>
    </w:p>
    <w:p>
      <w:pPr>
        <w:spacing w:after="120"/>
      </w:pPr>
      <w:r>
        <w:rPr>
          <w:rFonts w:ascii="Arial" w:hAnsi="Arial"/>
          <w:b w:val="0"/>
          <w:color w:val="222222"/>
          <w:sz w:val="22"/>
        </w:rPr>
        <w:t>The performance rating and final decision are pending completion of the review process. Specific performance goals and improvement actions will be assigned accordingly. The effective date for these outcomes will be communicated upon finalization to ensure clarity and alignment with company standards.</w:t>
      </w:r>
    </w:p>
    <w:p>
      <w:pPr>
        <w:spacing w:after="160"/>
      </w:pPr>
    </w:p>
    <w:p>
      <w:pPr>
        <w:spacing w:before="280" w:after="120"/>
      </w:pPr>
      <w:r>
        <w:rPr>
          <w:rFonts w:ascii="Arial" w:hAnsi="Arial"/>
          <w:b/>
          <w:color w:val="2E4057"/>
          <w:sz w:val="26"/>
        </w:rPr>
        <w:t>Acknowledgment and Signatures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People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Employee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Department Head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Performance Review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Performance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