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Data Backup Policy</w:t>
      </w:r>
    </w:p>
    <w:p>
      <w:pPr>
        <w:spacing w:after="120"/>
      </w:pPr>
      <w:r>
        <w:rPr>
          <w:rFonts w:ascii="Arial" w:hAnsi="Arial"/>
          <w:b w:val="0"/>
          <w:i w:val="0"/>
          <w:color w:val="888888"/>
          <w:sz w:val="20"/>
        </w:rPr>
        <w:t>turabit  ·  IT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Introduction</w:t>
      </w:r>
    </w:p>
    <w:p>
      <w:pPr>
        <w:spacing w:after="120"/>
      </w:pPr>
      <w:r>
        <w:rPr>
          <w:rFonts w:ascii="Arial" w:hAnsi="Arial"/>
          <w:b w:val="0"/>
          <w:i w:val="0"/>
          <w:color w:val="222222"/>
          <w:sz w:val="22"/>
        </w:rPr>
        <w:t>turabit’s Data Backup Policy establishes guidelines to ensure secure, reliable data preservation and recovery. Effective from 01 April 2026, it supports business continuity, minimizes data loss risk, and complies with regulatory requirements within the technology and SaaS industry in India. All IT personnel must adhere strictly.</w:t>
      </w:r>
    </w:p>
    <w:p>
      <w:pPr>
        <w:spacing w:after="120"/>
      </w:pPr>
    </w:p>
    <w:p>
      <w:pPr>
        <w:spacing w:before="240" w:after="100"/>
        <w:pBdr>
          <w:bottom w:val="single" w:sz="6" w:space="1" w:color="2E4057"/>
        </w:pBdr>
      </w:pPr>
      <w:r>
        <w:rPr>
          <w:rFonts w:ascii="Arial" w:hAnsi="Arial"/>
          <w:b/>
          <w:i w:val="0"/>
          <w:color w:val="2E4057"/>
          <w:sz w:val="26"/>
        </w:rPr>
        <w:t>Purpose of the Backup Policy</w:t>
      </w:r>
    </w:p>
    <w:p>
      <w:pPr>
        <w:spacing w:after="120"/>
      </w:pPr>
      <w:r>
        <w:rPr>
          <w:rFonts w:ascii="Arial" w:hAnsi="Arial"/>
          <w:b w:val="0"/>
          <w:i w:val="0"/>
          <w:color w:val="222222"/>
          <w:sz w:val="22"/>
        </w:rPr>
        <w:t>turabit’s Data Backup Policy ensures data availability and integrity across critical systems. It protects against data loss, corruption, or unauthorized access. The policy enables timely recovery, supports business continuity and disaster recovery, and ensures compliance with applicable regulatory and internal data protection requirements.</w:t>
      </w:r>
    </w:p>
    <w:p>
      <w:pPr>
        <w:spacing w:after="120"/>
      </w:pPr>
    </w:p>
    <w:p>
      <w:pPr>
        <w:spacing w:before="240" w:after="100"/>
        <w:pBdr>
          <w:bottom w:val="single" w:sz="6" w:space="1" w:color="2E4057"/>
        </w:pBdr>
      </w:pPr>
      <w:r>
        <w:rPr>
          <w:rFonts w:ascii="Arial" w:hAnsi="Arial"/>
          <w:b/>
          <w:i w:val="0"/>
          <w:color w:val="2E4057"/>
          <w:sz w:val="26"/>
        </w:rPr>
        <w:t>Scope of the Policy</w:t>
      </w:r>
    </w:p>
    <w:p>
      <w:pPr>
        <w:spacing w:after="120"/>
      </w:pPr>
      <w:r>
        <w:rPr>
          <w:rFonts w:ascii="Arial" w:hAnsi="Arial"/>
          <w:b w:val="0"/>
          <w:i w:val="0"/>
          <w:color w:val="222222"/>
          <w:sz w:val="22"/>
        </w:rPr>
        <w:t>The Data Backup Policy covers the following systems and data types: 1. ERP System 2. CRM System 3. Financial Management System 4. HRMS 5. Email and Collaboration Platforms 6. Document Management Systems 7. Customer, transactional, employee, HR, finance, and accounting data.</w:t>
      </w:r>
    </w:p>
    <w:p>
      <w:pPr>
        <w:spacing w:after="120"/>
      </w:pPr>
    </w:p>
    <w:p>
      <w:pPr>
        <w:spacing w:before="240" w:after="100"/>
        <w:pBdr>
          <w:bottom w:val="single" w:sz="6" w:space="1" w:color="2E4057"/>
        </w:pBdr>
      </w:pPr>
      <w:r>
        <w:rPr>
          <w:rFonts w:ascii="Arial" w:hAnsi="Arial"/>
          <w:b/>
          <w:i w:val="0"/>
          <w:color w:val="2E4057"/>
          <w:sz w:val="26"/>
        </w:rPr>
        <w:t>Definitions and Key Terms</w:t>
      </w:r>
    </w:p>
    <w:p>
      <w:pPr>
        <w:spacing w:after="120"/>
      </w:pPr>
      <w:r>
        <w:rPr>
          <w:rFonts w:ascii="Arial" w:hAnsi="Arial"/>
          <w:b w:val="0"/>
          <w:i w:val="0"/>
          <w:color w:val="222222"/>
          <w:sz w:val="22"/>
        </w:rPr>
        <w:t>Recovery Point Objective (RPO) is the maximum acceptable data loss measured in time. Recovery Time Objective (RTO) is the maximum acceptable downtime for system recovery. Critical Data includes financial, customer, and operational information essential for business continuity. Backup Validation ensures data integrity through periodic testing. 1.</w:t>
      </w:r>
    </w:p>
    <w:p>
      <w:pPr>
        <w:spacing w:after="120"/>
      </w:pPr>
    </w:p>
    <w:p>
      <w:pPr>
        <w:spacing w:before="240" w:after="100"/>
        <w:pBdr>
          <w:bottom w:val="single" w:sz="6" w:space="1" w:color="2E4057"/>
        </w:pBdr>
      </w:pPr>
      <w:r>
        <w:rPr>
          <w:rFonts w:ascii="Arial" w:hAnsi="Arial"/>
          <w:b/>
          <w:i w:val="0"/>
          <w:color w:val="2E4057"/>
          <w:sz w:val="26"/>
        </w:rPr>
        <w:t>Data Classification and Backup Requirements</w:t>
      </w:r>
    </w:p>
    <w:p>
      <w:pPr>
        <w:spacing w:after="120"/>
      </w:pPr>
      <w:r>
        <w:rPr>
          <w:rFonts w:ascii="Arial" w:hAnsi="Arial"/>
          <w:b w:val="0"/>
          <w:i w:val="0"/>
          <w:color w:val="222222"/>
          <w:sz w:val="22"/>
        </w:rPr>
        <w:t>turabit classifies data as Public, Internal, Confidential, and Restricted with defined backup frequencies and retention periods. Confidential and Restricted data require AES-256 encryption, secure TLS 1.2+ transmission, RBAC, MFA for administration, secure storage, and regular audit logging to ensure data integrity and compliance.</w:t>
      </w:r>
    </w:p>
    <w:p>
      <w:pPr>
        <w:spacing w:after="120"/>
      </w:pPr>
    </w:p>
    <w:p>
      <w:pPr>
        <w:spacing w:before="240" w:after="100"/>
        <w:pBdr>
          <w:bottom w:val="single" w:sz="6" w:space="1" w:color="2E4057"/>
        </w:pBdr>
      </w:pPr>
      <w:r>
        <w:rPr>
          <w:rFonts w:ascii="Arial" w:hAnsi="Arial"/>
          <w:b/>
          <w:i w:val="0"/>
          <w:color w:val="2E4057"/>
          <w:sz w:val="26"/>
        </w:rPr>
        <w:t>Backup Frequency and Schedule</w:t>
      </w:r>
    </w:p>
    <w:p>
      <w:pPr>
        <w:spacing w:after="120"/>
      </w:pPr>
      <w:r>
        <w:rPr>
          <w:rFonts w:ascii="Arial" w:hAnsi="Arial"/>
          <w:b w:val="0"/>
          <w:i w:val="0"/>
          <w:color w:val="222222"/>
          <w:sz w:val="22"/>
        </w:rPr>
        <w:t>The following table outlines the backup types, their corresponding frequency, scheduled time, retention period, target systems, and responsible teams for monitoring and verification.</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Backup Type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Frequency</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Scheduled Time (HH:MM)</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Retention Period (Days)</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Target System / Data Category</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Team / Role</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Full Backup</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02:00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Enterprise Resource Planning (ERP) System</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Infrastructure Team</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Incremental Backup</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Daily</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01:00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Relationship Management (CRM) System, Human Resource Management System (HRMS)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Operations Team</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Differential Backup</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Daily</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03:00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Financial Management System</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Database Administration Team</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Real-Time Replication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Continuous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365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Databases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Network and Security Team</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Archive Backup</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04:00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730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Archived Records and Logs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Compliance Officer</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Backup</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Daily</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02:30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Email and Collaboration Systems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Operations Team</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Backup Storage Locations</w:t>
      </w:r>
    </w:p>
    <w:p>
      <w:pPr>
        <w:spacing w:after="120"/>
      </w:pPr>
      <w:r>
        <w:rPr>
          <w:rFonts w:ascii="Arial" w:hAnsi="Arial"/>
          <w:b w:val="0"/>
          <w:i w:val="0"/>
          <w:color w:val="222222"/>
          <w:sz w:val="22"/>
        </w:rPr>
        <w:t>Backup data at turabit is stored across multiple locations to ensure redundancy and compliance. Primary storage includes on-premise data center repositories and encrypted NAS and SAN systems. Additional backups reside in an offsite disaster recovery facility and secure cloud platforms, adhering strictly to geographic and regulatory data residency requirements.</w:t>
      </w:r>
    </w:p>
    <w:p>
      <w:pPr>
        <w:spacing w:after="120"/>
      </w:pPr>
    </w:p>
    <w:p>
      <w:pPr>
        <w:spacing w:before="240" w:after="100"/>
        <w:pBdr>
          <w:bottom w:val="single" w:sz="6" w:space="1" w:color="2E4057"/>
        </w:pBdr>
      </w:pPr>
      <w:r>
        <w:rPr>
          <w:rFonts w:ascii="Arial" w:hAnsi="Arial"/>
          <w:b/>
          <w:i w:val="0"/>
          <w:color w:val="2E4057"/>
          <w:sz w:val="26"/>
        </w:rPr>
        <w:t>Backup Methods and Tools</w:t>
      </w:r>
    </w:p>
    <w:p>
      <w:pPr>
        <w:spacing w:after="120"/>
      </w:pPr>
      <w:r>
        <w:rPr>
          <w:rFonts w:ascii="Arial" w:hAnsi="Arial"/>
          <w:b w:val="0"/>
          <w:i w:val="0"/>
          <w:color w:val="222222"/>
          <w:sz w:val="22"/>
        </w:rPr>
        <w:t>turabit employs full, incremental, differential, real-time replication, cloud-based, and archive backup methods to ensure data protection. Approved tools include Veeam, Acronis, Microsoft Azure Backup, AWS Backup, Veritas NetBackup, and Commvault. Backup schedules range from continuous replication to monthly archives.</w:t>
      </w:r>
    </w:p>
    <w:p>
      <w:pPr>
        <w:spacing w:after="120"/>
      </w:pPr>
    </w:p>
    <w:p>
      <w:pPr>
        <w:spacing w:before="240" w:after="100"/>
        <w:pBdr>
          <w:bottom w:val="single" w:sz="6" w:space="1" w:color="2E4057"/>
        </w:pBdr>
      </w:pPr>
      <w:r>
        <w:rPr>
          <w:rFonts w:ascii="Arial" w:hAnsi="Arial"/>
          <w:b/>
          <w:i w:val="0"/>
          <w:color w:val="2E4057"/>
          <w:sz w:val="26"/>
        </w:rPr>
        <w:t>Access Control and Security Measures</w:t>
      </w:r>
    </w:p>
    <w:p>
      <w:pPr>
        <w:spacing w:after="120"/>
      </w:pPr>
      <w:r>
        <w:rPr>
          <w:rFonts w:ascii="Arial" w:hAnsi="Arial"/>
          <w:b w:val="0"/>
          <w:i w:val="0"/>
          <w:color w:val="222222"/>
          <w:sz w:val="22"/>
        </w:rPr>
        <w:t>Access to backup data is restricted through role-based access control, multi-factor authentication, and least privilege policies. Identity and access management systems provide centralized control, while audit logs and segregation of duties ensure accountability. Backup data is protected with AES-256 encryption, TLS 1.2+, end-to-end encryption, and secure key management.</w:t>
      </w:r>
    </w:p>
    <w:p>
      <w:pPr>
        <w:spacing w:after="120"/>
      </w:pPr>
    </w:p>
    <w:p>
      <w:pPr>
        <w:spacing w:before="240" w:after="100"/>
        <w:pBdr>
          <w:bottom w:val="single" w:sz="6" w:space="1" w:color="2E4057"/>
        </w:pBdr>
      </w:pPr>
      <w:r>
        <w:rPr>
          <w:rFonts w:ascii="Arial" w:hAnsi="Arial"/>
          <w:b/>
          <w:i w:val="0"/>
          <w:color w:val="2E4057"/>
          <w:sz w:val="26"/>
        </w:rPr>
        <w:t>Backup Monitoring and Verification</w:t>
      </w:r>
    </w:p>
    <w:p>
      <w:pPr>
        <w:spacing w:after="120"/>
      </w:pPr>
      <w:r>
        <w:rPr>
          <w:rFonts w:ascii="Arial" w:hAnsi="Arial"/>
          <w:b w:val="0"/>
          <w:i w:val="0"/>
          <w:color w:val="222222"/>
          <w:sz w:val="22"/>
        </w:rPr>
        <w:t>turabit IT employs automated monitoring tools to track backup success and data integrity daily. The Backup Administrator verifies completeness and accuracy weekly. Failures trigger immediate escalation to IT management, followed by root cause analysis and corrective measures to ensure reliable data restoration and compliance with policy standards.</w:t>
      </w:r>
    </w:p>
    <w:p>
      <w:pPr>
        <w:spacing w:after="120"/>
      </w:pPr>
    </w:p>
    <w:p>
      <w:pPr>
        <w:spacing w:before="240" w:after="100"/>
        <w:pBdr>
          <w:bottom w:val="single" w:sz="6" w:space="1" w:color="2E4057"/>
        </w:pBdr>
      </w:pPr>
      <w:r>
        <w:rPr>
          <w:rFonts w:ascii="Arial" w:hAnsi="Arial"/>
          <w:b/>
          <w:i w:val="0"/>
          <w:color w:val="2E4057"/>
          <w:sz w:val="26"/>
        </w:rPr>
        <w:t>Data Restoration Procedures</w:t>
      </w:r>
    </w:p>
    <w:p>
      <w:pPr>
        <w:spacing w:after="80"/>
        <w:ind w:left="360"/>
      </w:pPr>
      <w:r>
        <w:rPr>
          <w:rFonts w:ascii="Arial" w:hAnsi="Arial"/>
          <w:b w:val="0"/>
          <w:i w:val="0"/>
          <w:color w:val="222222"/>
          <w:sz w:val="22"/>
        </w:rPr>
        <w:t>1. Incident identification and restoration request initiation by IT Operations Team 2. Approval by IT Operations Manager 3. Backup validation and restore point selection by Database Administrator 4. Data restoration executed by IT Infrastructure Team 5. System validation by Application Support Team 6.</w:t>
      </w:r>
    </w:p>
    <w:p>
      <w:pPr>
        <w:spacing w:after="120"/>
      </w:pPr>
    </w:p>
    <w:p>
      <w:pPr>
        <w:spacing w:before="240" w:after="100"/>
        <w:pBdr>
          <w:bottom w:val="single" w:sz="6" w:space="1" w:color="2E4057"/>
        </w:pBdr>
      </w:pPr>
      <w:r>
        <w:rPr>
          <w:rFonts w:ascii="Arial" w:hAnsi="Arial"/>
          <w:b/>
          <w:i w:val="0"/>
          <w:color w:val="2E4057"/>
          <w:sz w:val="26"/>
        </w:rPr>
        <w:t>Roles and Responsibilities</w:t>
      </w:r>
    </w:p>
    <w:p>
      <w:pPr>
        <w:spacing w:after="120"/>
      </w:pPr>
      <w:r>
        <w:rPr>
          <w:rFonts w:ascii="Arial" w:hAnsi="Arial"/>
          <w:b w:val="0"/>
          <w:i w:val="0"/>
          <w:color w:val="222222"/>
          <w:sz w:val="22"/>
        </w:rPr>
        <w:t>The IT department is accountable for ensuring the effective and secure management of data backup processes to maintain data integrity, availability, and compliance with company policies and regulatory requirements.</w:t>
      </w:r>
    </w:p>
    <w:p>
      <w:pPr>
        <w:spacing w:after="80"/>
      </w:pPr>
    </w:p>
    <w:tbl>
      <w:tblPr>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Activity</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 Operations Manager</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 Infrastructure Team</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Database Administrator</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Backup and Recovery Specialist</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 Security Officer</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Cloud Operations Team</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Application Support Team</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 Compliance Officer</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Service Desk Team</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Backup policy definition and approval</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Backup scheduling and configuration</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Execution of full, incremental, and differential backups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Monitoring and verification of backup completion</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Backup storage management (on-premise and cloud)</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Access control and security management for backup data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Backup failure handling and incident response</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restoration and recovery operations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Backup testing and validation procedures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Audit, compliance checks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bl>
    <w:p>
      <w:pPr>
        <w:spacing w:after="120"/>
      </w:pPr>
    </w:p>
    <w:p>
      <w:pPr>
        <w:spacing w:after="80"/>
      </w:pPr>
    </w:p>
    <w:p>
      <w:pPr>
        <w:spacing w:after="120"/>
      </w:pPr>
      <w:r>
        <w:rPr>
          <w:rFonts w:ascii="Arial" w:hAnsi="Arial"/>
          <w:b w:val="0"/>
          <w:i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 = Informed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Policy Compliance Requirements</w:t>
      </w:r>
    </w:p>
    <w:p>
      <w:pPr>
        <w:spacing w:after="120"/>
      </w:pPr>
      <w:r>
        <w:rPr>
          <w:rFonts w:ascii="Arial" w:hAnsi="Arial"/>
          <w:b w:val="0"/>
          <w:i w:val="0"/>
          <w:color w:val="222222"/>
          <w:sz w:val="22"/>
        </w:rPr>
        <w:t>Compliance with applicable data protection regulations and industry standards is mandatory. The IT department's Compliance Officer is responsible for monitoring adherence. Non-compliance may result in disciplinary actions, including warnings, suspension, or termination, depending on the severity and impact on data security and business continuity.</w:t>
      </w:r>
    </w:p>
    <w:p>
      <w:pPr>
        <w:spacing w:after="120"/>
      </w:pPr>
    </w:p>
    <w:p>
      <w:pPr>
        <w:spacing w:before="240" w:after="100"/>
        <w:pBdr>
          <w:bottom w:val="single" w:sz="6" w:space="1" w:color="2E4057"/>
        </w:pBdr>
      </w:pPr>
      <w:r>
        <w:rPr>
          <w:rFonts w:ascii="Arial" w:hAnsi="Arial"/>
          <w:b/>
          <w:i w:val="0"/>
          <w:color w:val="2E4057"/>
          <w:sz w:val="26"/>
        </w:rPr>
        <w:t>Policy Review and Updates</w:t>
      </w:r>
    </w:p>
    <w:p>
      <w:pPr>
        <w:spacing w:after="120"/>
      </w:pPr>
      <w:r>
        <w:rPr>
          <w:rFonts w:ascii="Arial" w:hAnsi="Arial"/>
          <w:b w:val="0"/>
          <w:i w:val="0"/>
          <w:color w:val="222222"/>
          <w:sz w:val="22"/>
        </w:rPr>
        <w:t>The Data Backup Policy shall be reviewed annually by the IT department. Proposed updates must be documented, evaluated for impact, and approved by the IT manager. Changes are implemented following a formal change management process to ensure alignment with business and compliance requirements.</w:t>
      </w:r>
    </w:p>
    <w:p>
      <w:pPr>
        <w:spacing w:after="400"/>
      </w:pPr>
    </w:p>
    <w:p>
      <w:pPr>
        <w:jc w:val="center"/>
      </w:pPr>
      <w:r>
        <w:rPr>
          <w:rFonts w:ascii="Arial" w:hAnsi="Arial"/>
          <w:b w:val="0"/>
          <w:i w:val="0"/>
          <w:color w:val="888888"/>
          <w:sz w:val="16"/>
        </w:rPr>
        <w:t>Data Backup Policy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Data Backup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