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pPr>
      <w:r>
        <w:rPr>
          <w:rFonts w:ascii="Arial" w:hAnsi="Arial"/>
          <w:b/>
          <w:i w:val="0"/>
          <w:color w:val="2E4057"/>
          <w:sz w:val="44"/>
        </w:rPr>
        <w:t>Incident Report</w:t>
      </w:r>
    </w:p>
    <w:p>
      <w:pPr>
        <w:spacing w:after="120"/>
      </w:pPr>
      <w:r>
        <w:rPr>
          <w:rFonts w:ascii="Arial" w:hAnsi="Arial"/>
          <w:b w:val="0"/>
          <w:i w:val="0"/>
          <w:color w:val="888888"/>
          <w:sz w:val="20"/>
        </w:rPr>
        <w:t>turabit  ·  IT  ·  Technology / SaaS  ·  India</w:t>
      </w:r>
    </w:p>
    <w:p>
      <w:pPr>
        <w:spacing w:after="320"/>
        <w:pBdr>
          <w:bottom w:val="single" w:sz="6" w:space="1" w:color="2E4057"/>
        </w:pBdr>
      </w:pPr>
    </w:p>
    <w:p>
      <w:pPr>
        <w:spacing w:before="240" w:after="100"/>
        <w:pBdr>
          <w:bottom w:val="single" w:sz="6" w:space="1" w:color="2E4057"/>
        </w:pBdr>
      </w:pPr>
      <w:r>
        <w:rPr>
          <w:rFonts w:ascii="Arial" w:hAnsi="Arial"/>
          <w:b/>
          <w:i w:val="0"/>
          <w:color w:val="2E4057"/>
          <w:sz w:val="26"/>
        </w:rPr>
        <w:t>Report Information</w:t>
      </w:r>
    </w:p>
    <w:p>
      <w:pPr>
        <w:spacing w:after="120"/>
      </w:pPr>
      <w:r>
        <w:rPr>
          <w:rFonts w:ascii="Arial" w:hAnsi="Arial"/>
          <w:b w:val="0"/>
          <w:i w:val="0"/>
          <w:color w:val="222222"/>
          <w:sz w:val="22"/>
        </w:rPr>
        <w:t>Incident detected on 15 March 2026 at 14:30. Reported by Karan Patel, IT Support Engineer. Unique incident ID assigned: INC-2026-0315-001. The information reflects the initial discovery and logging details to facilitate tracking and resolution within the IT department at turabit.</w:t>
      </w:r>
    </w:p>
    <w:p>
      <w:pPr>
        <w:spacing w:after="120"/>
      </w:pPr>
    </w:p>
    <w:p>
      <w:pPr>
        <w:spacing w:before="240" w:after="100"/>
        <w:pBdr>
          <w:bottom w:val="single" w:sz="6" w:space="1" w:color="2E4057"/>
        </w:pBdr>
      </w:pPr>
      <w:r>
        <w:rPr>
          <w:rFonts w:ascii="Arial" w:hAnsi="Arial"/>
          <w:b/>
          <w:i w:val="0"/>
          <w:color w:val="2E4057"/>
          <w:sz w:val="26"/>
        </w:rPr>
        <w:t>Incident Identification</w:t>
      </w:r>
    </w:p>
    <w:p>
      <w:pPr>
        <w:spacing w:after="120"/>
      </w:pPr>
      <w:r>
        <w:rPr>
          <w:rFonts w:ascii="Arial" w:hAnsi="Arial"/>
          <w:b w:val="0"/>
          <w:i w:val="0"/>
          <w:color w:val="222222"/>
          <w:sz w:val="22"/>
        </w:rPr>
        <w:t>Incidents to identify include unauthorized access or security breaches, system outages, data loss, malware or phishing attacks, network failures, application errors, and policy violations. The IT Support Engineer or authorized IT personnel monitoring systems are responsible for initial identification and prompt reporting of incidents within the department.</w:t>
      </w:r>
    </w:p>
    <w:p>
      <w:pPr>
        <w:spacing w:after="120"/>
      </w:pPr>
    </w:p>
    <w:p>
      <w:pPr>
        <w:spacing w:before="240" w:after="100"/>
        <w:pBdr>
          <w:bottom w:val="single" w:sz="6" w:space="1" w:color="2E4057"/>
        </w:pBdr>
      </w:pPr>
      <w:r>
        <w:rPr>
          <w:rFonts w:ascii="Arial" w:hAnsi="Arial"/>
          <w:b/>
          <w:i w:val="0"/>
          <w:color w:val="2E4057"/>
          <w:sz w:val="26"/>
        </w:rPr>
        <w:t>Incident Description</w:t>
      </w:r>
    </w:p>
    <w:p>
      <w:pPr>
        <w:spacing w:after="120"/>
      </w:pPr>
      <w:r>
        <w:rPr>
          <w:rFonts w:ascii="Arial" w:hAnsi="Arial"/>
          <w:b w:val="0"/>
          <w:i w:val="0"/>
          <w:color w:val="222222"/>
          <w:sz w:val="22"/>
        </w:rPr>
        <w:t>On 15 March 2026 at 14:25, Karan Patel, IT Support Engineer, identified an incident impacting multiple systems. Affected components include internal network infrastructure, project management tool Jira, internal document management system, and employee authentication and access control systems, disrupting normal business operations.</w:t>
      </w:r>
    </w:p>
    <w:p>
      <w:pPr>
        <w:spacing w:after="120"/>
      </w:pPr>
    </w:p>
    <w:p>
      <w:pPr>
        <w:spacing w:before="240" w:after="100"/>
        <w:pBdr>
          <w:bottom w:val="single" w:sz="6" w:space="1" w:color="2E4057"/>
        </w:pBdr>
      </w:pPr>
      <w:r>
        <w:rPr>
          <w:rFonts w:ascii="Arial" w:hAnsi="Arial"/>
          <w:b/>
          <w:i w:val="0"/>
          <w:color w:val="2E4057"/>
          <w:sz w:val="26"/>
        </w:rPr>
        <w:t>Affected Systems or Services</w:t>
      </w:r>
    </w:p>
    <w:p>
      <w:pPr>
        <w:spacing w:after="120"/>
      </w:pPr>
      <w:r>
        <w:rPr>
          <w:rFonts w:ascii="Arial" w:hAnsi="Arial"/>
          <w:b w:val="0"/>
          <w:i w:val="0"/>
          <w:color w:val="222222"/>
          <w:sz w:val="22"/>
        </w:rPr>
        <w:t>The incident impacted the following systems and services: 1. Project Management Tool (Jira): Partial service disruption causing delays in task updates and tracking 2. Internal Document Management System: Temporary inaccessibility for document retrieval and uploads 3.</w:t>
      </w:r>
    </w:p>
    <w:p>
      <w:pPr>
        <w:spacing w:after="120"/>
      </w:pPr>
    </w:p>
    <w:p>
      <w:pPr>
        <w:spacing w:before="240" w:after="100"/>
        <w:pBdr>
          <w:bottom w:val="single" w:sz="6" w:space="1" w:color="2E4057"/>
        </w:pBdr>
      </w:pPr>
      <w:r>
        <w:rPr>
          <w:rFonts w:ascii="Arial" w:hAnsi="Arial"/>
          <w:b/>
          <w:i w:val="0"/>
          <w:color w:val="2E4057"/>
          <w:sz w:val="26"/>
        </w:rPr>
        <w:t>Date and Time of Incident</w:t>
      </w:r>
    </w:p>
    <w:p>
      <w:pPr>
        <w:spacing w:after="120"/>
      </w:pPr>
      <w:r>
        <w:rPr>
          <w:rFonts w:ascii="Arial" w:hAnsi="Arial"/>
          <w:b w:val="0"/>
          <w:i w:val="0"/>
          <w:color w:val="222222"/>
          <w:sz w:val="22"/>
        </w:rPr>
        <w:t>The incident occurred on 15 March 2026. It was first detected and reported at precisely 14:30 local time. All timestamps referenced in this report correspond to Indian Standard Time (IST) to ensure consistency across all documentation and communication related to the incident.</w:t>
      </w:r>
    </w:p>
    <w:p>
      <w:pPr>
        <w:spacing w:after="120"/>
      </w:pPr>
    </w:p>
    <w:p>
      <w:pPr>
        <w:spacing w:before="240" w:after="100"/>
        <w:pBdr>
          <w:bottom w:val="single" w:sz="6" w:space="1" w:color="2E4057"/>
        </w:pBdr>
      </w:pPr>
      <w:r>
        <w:rPr>
          <w:rFonts w:ascii="Arial" w:hAnsi="Arial"/>
          <w:b/>
          <w:i w:val="0"/>
          <w:color w:val="2E4057"/>
          <w:sz w:val="26"/>
        </w:rPr>
        <w:t>Impact Assessment</w:t>
      </w:r>
    </w:p>
    <w:p>
      <w:pPr>
        <w:spacing w:after="120"/>
      </w:pPr>
      <w:r>
        <w:rPr>
          <w:rFonts w:ascii="Arial" w:hAnsi="Arial"/>
          <w:b w:val="0"/>
          <w:i w:val="0"/>
          <w:color w:val="222222"/>
          <w:sz w:val="22"/>
        </w:rPr>
        <w:t>The incident caused partial downtime of the Project Management Tool and Internal Document Management System, intermittent failures in Employee Authentication, and network performance degradation. Approximately 60% of users were impacted. Financially, the incident resulted in INR 200,000 due to productivity loss and remediation expenses.</w:t>
      </w:r>
    </w:p>
    <w:p>
      <w:pPr>
        <w:spacing w:after="120"/>
      </w:pPr>
    </w:p>
    <w:p>
      <w:pPr>
        <w:spacing w:before="240" w:after="100"/>
        <w:pBdr>
          <w:bottom w:val="single" w:sz="6" w:space="1" w:color="2E4057"/>
        </w:pBdr>
      </w:pPr>
      <w:r>
        <w:rPr>
          <w:rFonts w:ascii="Arial" w:hAnsi="Arial"/>
          <w:b/>
          <w:i w:val="0"/>
          <w:color w:val="2E4057"/>
          <w:sz w:val="26"/>
        </w:rPr>
        <w:t>Initial Response Actions</w:t>
      </w:r>
    </w:p>
    <w:p>
      <w:pPr>
        <w:spacing w:after="120"/>
      </w:pPr>
      <w:r>
        <w:rPr>
          <w:rFonts w:ascii="Arial" w:hAnsi="Arial"/>
          <w:b w:val="0"/>
          <w:i w:val="0"/>
          <w:color w:val="222222"/>
          <w:sz w:val="22"/>
        </w:rPr>
        <w:t>The IT Support Engineer or Incident Response Team Lead initiates the response. They log and document the incident, assess severity, notify stakeholders, and contain the issue. Initial diagnosis is performed, escalation occurs if needed, and remediation and recovery actions begin following established procedures.</w:t>
      </w:r>
    </w:p>
    <w:p>
      <w:pPr>
        <w:spacing w:after="120"/>
      </w:pPr>
    </w:p>
    <w:p>
      <w:pPr>
        <w:spacing w:before="240" w:after="100"/>
        <w:pBdr>
          <w:bottom w:val="single" w:sz="6" w:space="1" w:color="2E4057"/>
        </w:pBdr>
      </w:pPr>
      <w:r>
        <w:rPr>
          <w:rFonts w:ascii="Arial" w:hAnsi="Arial"/>
          <w:b/>
          <w:i w:val="0"/>
          <w:color w:val="2E4057"/>
          <w:sz w:val="26"/>
        </w:rPr>
        <w:t>Root Cause Analysis</w:t>
      </w:r>
    </w:p>
    <w:p>
      <w:pPr>
        <w:spacing w:after="120"/>
      </w:pPr>
      <w:r>
        <w:rPr>
          <w:rFonts w:ascii="Arial" w:hAnsi="Arial"/>
          <w:b w:val="0"/>
          <w:i w:val="0"/>
          <w:color w:val="222222"/>
          <w:sz w:val="22"/>
        </w:rPr>
        <w:t>The primary technical failure causing the incident remains under investigation. Preliminary analysis suggests potential issues within core infrastructure components. The root cause was initially identified during ongoing diagnostics on [Date and Time]. Further detailed assessment is required to pinpoint specific systems or processes involved.</w:t>
      </w:r>
    </w:p>
    <w:p>
      <w:pPr>
        <w:spacing w:after="120"/>
      </w:pPr>
    </w:p>
    <w:p>
      <w:pPr>
        <w:spacing w:before="240" w:after="100"/>
        <w:pBdr>
          <w:bottom w:val="single" w:sz="6" w:space="1" w:color="2E4057"/>
        </w:pBdr>
      </w:pPr>
      <w:r>
        <w:rPr>
          <w:rFonts w:ascii="Arial" w:hAnsi="Arial"/>
          <w:b/>
          <w:i w:val="0"/>
          <w:color w:val="2E4057"/>
          <w:sz w:val="26"/>
        </w:rPr>
        <w:t>Resolution Actions</w:t>
      </w:r>
    </w:p>
    <w:p>
      <w:pPr>
        <w:spacing w:after="120"/>
      </w:pPr>
      <w:r>
        <w:rPr>
          <w:rFonts w:ascii="Arial" w:hAnsi="Arial"/>
          <w:b w:val="0"/>
          <w:i w:val="0"/>
          <w:color w:val="222222"/>
          <w:sz w:val="22"/>
        </w:rPr>
        <w:t>The IT team initiated a thorough investigation, applying standard troubleshooting protocols and diagnostic tools. Key personnel coordinated remediation efforts promptly. System patches were deployed, and configurations updated. Continuous monitoring was established to verify stability. The incident was contained, with services restored to normal operational status.</w:t>
      </w:r>
    </w:p>
    <w:p>
      <w:pPr>
        <w:spacing w:after="120"/>
      </w:pPr>
    </w:p>
    <w:p>
      <w:pPr>
        <w:spacing w:before="240" w:after="100"/>
        <w:pBdr>
          <w:bottom w:val="single" w:sz="6" w:space="1" w:color="2E4057"/>
        </w:pBdr>
      </w:pPr>
      <w:r>
        <w:rPr>
          <w:rFonts w:ascii="Arial" w:hAnsi="Arial"/>
          <w:b/>
          <w:i w:val="0"/>
          <w:color w:val="2E4057"/>
          <w:sz w:val="26"/>
        </w:rPr>
        <w:t>Preventive Measures</w:t>
      </w:r>
    </w:p>
    <w:p>
      <w:pPr>
        <w:spacing w:after="120"/>
      </w:pPr>
      <w:r>
        <w:rPr>
          <w:rFonts w:ascii="Arial" w:hAnsi="Arial"/>
          <w:b w:val="0"/>
          <w:i w:val="0"/>
          <w:color w:val="222222"/>
          <w:sz w:val="22"/>
        </w:rPr>
        <w:t>Preventive measures include regular system audits, updated security protocols, and enhanced employee training. The IT Security Manager is responsible for monitoring and enforcement. Reviews occur quarterly to ensure effectiveness and incorporate emerging threat intelligence, maintaining robust defenses against similar future incidents.</w:t>
      </w:r>
    </w:p>
    <w:p>
      <w:pPr>
        <w:spacing w:after="120"/>
      </w:pPr>
    </w:p>
    <w:p>
      <w:pPr>
        <w:spacing w:before="240" w:after="100"/>
        <w:pBdr>
          <w:bottom w:val="single" w:sz="6" w:space="1" w:color="2E4057"/>
        </w:pBdr>
      </w:pPr>
      <w:r>
        <w:rPr>
          <w:rFonts w:ascii="Arial" w:hAnsi="Arial"/>
          <w:b/>
          <w:i w:val="0"/>
          <w:color w:val="2E4057"/>
          <w:sz w:val="26"/>
        </w:rPr>
        <w:t>Review and Approval</w:t>
      </w:r>
    </w:p>
    <w:p>
      <w:pPr>
        <w:spacing w:after="120"/>
      </w:pPr>
      <w:r>
        <w:rPr>
          <w:rFonts w:ascii="Arial" w:hAnsi="Arial"/>
          <w:b w:val="0"/>
          <w:i w:val="0"/>
          <w:color w:val="222222"/>
          <w:sz w:val="22"/>
        </w:rPr>
        <w:t>This document requires the following authorised signatures.</w:t>
      </w:r>
    </w:p>
    <w:p>
      <w:pPr>
        <w:spacing w:after="80"/>
      </w:pPr>
    </w:p>
    <w:tbl>
      <w:tblPr>
        <w:tblW w:type="auto" w:w="0"/>
        <w:jc w:val="left"/>
        <w:tblLook w:firstColumn="1" w:firstRow="1" w:lastColumn="0" w:lastRow="0" w:noHBand="0" w:noVBand="1" w:val="04A0"/>
      </w:tblPr>
      <w:tblGrid>
        <w:gridCol w:w="2340"/>
        <w:gridCol w:w="2340"/>
        <w:gridCol w:w="2340"/>
        <w:gridCol w:w="2340"/>
      </w:tblGrid>
      <w:tr>
        <w:tc>
          <w:tcPr>
            <w:tcW w:type="dxa" w:w="23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Role</w:t>
            </w:r>
          </w:p>
        </w:tc>
        <w:tc>
          <w:tcPr>
            <w:tcW w:type="dxa" w:w="23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Name</w:t>
            </w:r>
          </w:p>
        </w:tc>
        <w:tc>
          <w:tcPr>
            <w:tcW w:type="dxa" w:w="23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Signature</w:t>
            </w:r>
          </w:p>
        </w:tc>
        <w:tc>
          <w:tcPr>
            <w:tcW w:type="dxa" w:w="23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Date</w:t>
            </w:r>
          </w:p>
        </w:tc>
      </w:tr>
      <w:tr>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IT Incident Manager</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__________________</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__________________</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w:t>
            </w:r>
          </w:p>
        </w:tc>
      </w:tr>
      <w:tr>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Security Analyst</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__________________</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__________________</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w:t>
            </w:r>
          </w:p>
        </w:tc>
      </w:tr>
      <w:tr>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IT Operations Manager</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__________________</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__________________</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w:t>
            </w:r>
          </w:p>
        </w:tc>
      </w:tr>
      <w:tr>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Chief Information Officer (CIO)</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__________________</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__________________</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w:t>
            </w:r>
          </w:p>
        </w:tc>
      </w:tr>
    </w:tbl>
    <w:p>
      <w:pPr>
        <w:spacing w:after="120"/>
      </w:pPr>
    </w:p>
    <w:p>
      <w:pPr>
        <w:spacing w:after="400"/>
      </w:pPr>
    </w:p>
    <w:p>
      <w:pPr>
        <w:jc w:val="center"/>
      </w:pPr>
      <w:r>
        <w:rPr>
          <w:rFonts w:ascii="Arial" w:hAnsi="Arial"/>
          <w:b w:val="0"/>
          <w:i w:val="0"/>
          <w:color w:val="888888"/>
          <w:sz w:val="16"/>
        </w:rPr>
        <w:t>Incident Report  ·  Generated by DocForge AI  ·  Confidential</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888888"/>
        <w:sz w:val="16"/>
      </w:rPr>
      <w:t xml:space="preserve">Page </w:t>
    </w:r>
    <w:r>
      <w:rPr>
        <w:rFonts w:ascii="Arial" w:hAnsi="Arial"/>
        <w:color w:val="888888"/>
        <w:sz w:val="16"/>
      </w:rPr>
      <w:fldChar w:fldCharType="begin"/>
    </w:r>
    <w:r>
      <w:rPr>
        <w:rFonts w:ascii="Arial" w:hAnsi="Arial"/>
        <w:color w:val="888888"/>
        <w:sz w:val="16"/>
      </w:rPr>
      <w:instrText xml:space="preserve"> PAGE </w:instrText>
    </w:r>
    <w:r>
      <w:rPr>
        <w:rFonts w:ascii="Arial" w:hAnsi="Arial"/>
        <w:color w:val="888888"/>
        <w:sz w:val="16"/>
      </w:rPr>
      <w:fldChar w:fldCharType="end"/>
    </w:r>
    <w:r>
      <w:rPr>
        <w:rFonts w:ascii="Arial" w:hAnsi="Arial"/>
        <w:color w:val="888888"/>
        <w:sz w:val="16"/>
      </w:rPr>
      <w:t xml:space="preserve"> of </w:t>
    </w:r>
    <w:r>
      <w:rPr>
        <w:rFonts w:ascii="Arial" w:hAnsi="Arial"/>
        <w:color w:val="888888"/>
        <w:sz w:val="16"/>
      </w:rPr>
      <w:fldChar w:fldCharType="begin"/>
    </w:r>
    <w:r>
      <w:rPr>
        <w:rFonts w:ascii="Arial" w:hAnsi="Arial"/>
        <w:color w:val="888888"/>
        <w:sz w:val="16"/>
      </w:rPr>
      <w:instrText xml:space="preserve"> NUMPAGES </w:instrText>
    </w:r>
    <w:r>
      <w:rPr>
        <w:rFonts w:ascii="Arial" w:hAnsi="Arial"/>
        <w:color w:val="888888"/>
        <w:sz w:val="1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val="0"/>
        <w:i w:val="0"/>
        <w:color w:val="888888"/>
        <w:sz w:val="16"/>
      </w:rPr>
      <w:t>turabit  |  Incident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