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Network Access Agreement</w:t>
      </w:r>
    </w:p>
    <w:p>
      <w:pPr>
        <w:spacing w:after="120"/>
      </w:pPr>
      <w:r>
        <w:rPr>
          <w:rFonts w:ascii="Arial" w:hAnsi="Arial"/>
          <w:b w:val="0"/>
          <w:i w:val="0"/>
          <w:color w:val="888888"/>
          <w:sz w:val="20"/>
        </w:rPr>
        <w:t>turabit  ·  IT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Agreement Title and Document Information</w:t>
      </w:r>
    </w:p>
    <w:p>
      <w:pPr>
        <w:spacing w:after="120"/>
      </w:pPr>
      <w:r>
        <w:rPr>
          <w:rFonts w:ascii="Arial" w:hAnsi="Arial"/>
          <w:b w:val="0"/>
          <w:i w:val="0"/>
          <w:color w:val="222222"/>
          <w:sz w:val="22"/>
        </w:rPr>
        <w:t>The official title of this document is Network Access Agreement Policy. It becomes effective on 01 April 2026. The designated owner and approver within the IT department is the IT Compliance Officer, responsible for ensuring adherence and periodic review. This policy applies to turabit’s technology and SaaS operations in India.</w:t>
      </w:r>
    </w:p>
    <w:p>
      <w:pPr>
        <w:spacing w:after="120"/>
      </w:pPr>
    </w:p>
    <w:p>
      <w:pPr>
        <w:spacing w:before="240" w:after="100"/>
        <w:pBdr>
          <w:bottom w:val="single" w:sz="6" w:space="1" w:color="2E4057"/>
        </w:pBdr>
      </w:pPr>
      <w:r>
        <w:rPr>
          <w:rFonts w:ascii="Arial" w:hAnsi="Arial"/>
          <w:b/>
          <w:i w:val="0"/>
          <w:color w:val="2E4057"/>
          <w:sz w:val="26"/>
        </w:rPr>
        <w:t>Purpose of the Agreement</w:t>
      </w:r>
    </w:p>
    <w:p>
      <w:pPr>
        <w:spacing w:after="120"/>
      </w:pPr>
      <w:r>
        <w:rPr>
          <w:rFonts w:ascii="Arial" w:hAnsi="Arial"/>
          <w:b w:val="0"/>
          <w:i w:val="0"/>
          <w:color w:val="222222"/>
          <w:sz w:val="22"/>
        </w:rPr>
        <w:t>turabit aims to ensure secure, authorized network access while protecting sensitive data and enforcing compliance with security policies and regulations. The agreement covers employees, contractors, vendors, remote users, and authorized devices, maintaining network integrity, availability, confidentiality, and accountability for all users and devices.</w:t>
      </w:r>
    </w:p>
    <w:p>
      <w:pPr>
        <w:spacing w:after="120"/>
      </w:pPr>
    </w:p>
    <w:p>
      <w:pPr>
        <w:spacing w:before="240" w:after="100"/>
        <w:pBdr>
          <w:bottom w:val="single" w:sz="6" w:space="1" w:color="2E4057"/>
        </w:pBdr>
      </w:pPr>
      <w:r>
        <w:rPr>
          <w:rFonts w:ascii="Arial" w:hAnsi="Arial"/>
          <w:b/>
          <w:i w:val="0"/>
          <w:color w:val="2E4057"/>
          <w:sz w:val="26"/>
        </w:rPr>
        <w:t>User Identification Details</w:t>
      </w:r>
    </w:p>
    <w:p>
      <w:pPr>
        <w:spacing w:after="120"/>
      </w:pPr>
      <w:r>
        <w:rPr>
          <w:rFonts w:ascii="Arial" w:hAnsi="Arial"/>
          <w:b w:val="0"/>
          <w:i w:val="0"/>
          <w:color w:val="222222"/>
          <w:sz w:val="22"/>
        </w:rPr>
        <w:t>User identification requires employee ID or unique identifier, official corporate email, system username, department and role designation, government-issued ID if required, registered mobile number, and biometric data where applicable. Multi-factor authentication includes password, OTP, authenticator app, biometrics, and security questions.</w:t>
      </w:r>
    </w:p>
    <w:p>
      <w:pPr>
        <w:spacing w:after="120"/>
      </w:pPr>
    </w:p>
    <w:p>
      <w:pPr>
        <w:spacing w:before="240" w:after="100"/>
        <w:pBdr>
          <w:bottom w:val="single" w:sz="6" w:space="1" w:color="2E4057"/>
        </w:pBdr>
      </w:pPr>
      <w:r>
        <w:rPr>
          <w:rFonts w:ascii="Arial" w:hAnsi="Arial"/>
          <w:b/>
          <w:i w:val="0"/>
          <w:color w:val="2E4057"/>
          <w:sz w:val="26"/>
        </w:rPr>
        <w:t>Scope of Network Access</w:t>
      </w:r>
    </w:p>
    <w:p>
      <w:pPr>
        <w:spacing w:after="120"/>
      </w:pPr>
      <w:r>
        <w:rPr>
          <w:rFonts w:ascii="Arial" w:hAnsi="Arial"/>
          <w:b w:val="0"/>
          <w:i w:val="0"/>
          <w:color w:val="222222"/>
          <w:sz w:val="22"/>
        </w:rPr>
        <w:t>Network access includes the internal corporate network, enterprise applications, cloud platforms, email systems, VPN services, file servers, development environments, and identity management systems. Access is limited to authorized devices, approved BYOD, secure VPN connections, and compliant with security policies, geographic, and network restrictions.</w:t>
      </w:r>
    </w:p>
    <w:p>
      <w:pPr>
        <w:spacing w:after="120"/>
      </w:pPr>
    </w:p>
    <w:p>
      <w:pPr>
        <w:spacing w:before="240" w:after="100"/>
        <w:pBdr>
          <w:bottom w:val="single" w:sz="6" w:space="1" w:color="2E4057"/>
        </w:pBdr>
      </w:pPr>
      <w:r>
        <w:rPr>
          <w:rFonts w:ascii="Arial" w:hAnsi="Arial"/>
          <w:b/>
          <w:i w:val="0"/>
          <w:color w:val="2E4057"/>
          <w:sz w:val="26"/>
        </w:rPr>
        <w:t>Acceptable Use Policy</w:t>
      </w:r>
    </w:p>
    <w:p>
      <w:pPr>
        <w:spacing w:after="120"/>
      </w:pPr>
      <w:r>
        <w:rPr>
          <w:rFonts w:ascii="Arial" w:hAnsi="Arial"/>
          <w:b w:val="0"/>
          <w:i w:val="0"/>
          <w:color w:val="222222"/>
          <w:sz w:val="22"/>
        </w:rPr>
        <w:t>The following table outlines the key acceptable use policy rules that govern the proper use of network access within turabit's IT environment.</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Rule ID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Policy Description</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Status</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Exceptions / Notes</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AUP-001</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Access network resources only for authorized business purposes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Allowed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None</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AUP-002</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Sharing of user credentials with others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Prohibited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AUP-003</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Installation of unauthorized software on company devices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Prohibited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Approved by IT department</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AUP-004</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 of secure VPN for remote network access</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Allowed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AUP-005</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Accessing malicious or non-work-related websites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Prohibited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Limited access for research with approval</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AUP-006</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Downloading or transferring sensitive data without authorization</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Prohibited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Approved by Reporting Manager</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AUP-007</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with security updates and patch requirements</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Allowed</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None</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AUP-008</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Use of personal devices without IT approval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Prohibited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Approved BYOD policy</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Security Responsibilities of Users</w:t>
      </w:r>
    </w:p>
    <w:p>
      <w:pPr>
        <w:spacing w:after="120"/>
      </w:pPr>
      <w:r>
        <w:rPr>
          <w:rFonts w:ascii="Arial" w:hAnsi="Arial"/>
          <w:b w:val="0"/>
          <w:i w:val="0"/>
          <w:color w:val="222222"/>
          <w:sz w:val="22"/>
        </w:rPr>
        <w:t>Users must use authorized credentials, comply with MFA, access only approved resources, keep devices secure and updated, avoid unauthorized software, report incidents promptly, use secure connections remotely, adhere to data policies, and lock systems when unattended.</w:t>
      </w:r>
    </w:p>
    <w:p>
      <w:pPr>
        <w:spacing w:after="80"/>
      </w:pPr>
    </w:p>
    <w:p>
      <w:pPr>
        <w:spacing w:after="120"/>
      </w:pPr>
      <w:r>
        <w:rPr>
          <w:rFonts w:ascii="Arial" w:hAnsi="Arial"/>
          <w:b w:val="0"/>
          <w:i w:val="0"/>
          <w:color w:val="222222"/>
          <w:sz w:val="22"/>
        </w:rPr>
        <w:t>Violations may lead to suspension, warnings, disciplinary action, financial liability, termination, or legal consequences.</w:t>
      </w:r>
    </w:p>
    <w:p>
      <w:pPr>
        <w:spacing w:after="120"/>
      </w:pPr>
    </w:p>
    <w:p>
      <w:pPr>
        <w:spacing w:before="240" w:after="100"/>
        <w:pBdr>
          <w:bottom w:val="single" w:sz="6" w:space="1" w:color="2E4057"/>
        </w:pBdr>
      </w:pPr>
      <w:r>
        <w:rPr>
          <w:rFonts w:ascii="Arial" w:hAnsi="Arial"/>
          <w:b/>
          <w:i w:val="0"/>
          <w:color w:val="2E4057"/>
          <w:sz w:val="26"/>
        </w:rPr>
        <w:t>Prohibited Activities</w:t>
      </w:r>
    </w:p>
    <w:p>
      <w:pPr>
        <w:spacing w:after="120"/>
      </w:pPr>
      <w:r>
        <w:rPr>
          <w:rFonts w:ascii="Arial" w:hAnsi="Arial"/>
          <w:b w:val="0"/>
          <w:i w:val="0"/>
          <w:color w:val="222222"/>
          <w:sz w:val="22"/>
        </w:rPr>
        <w:t>Unauthorized access, credential misuse, installing unauthorized software, accessing illegal or non-business sites, downloading sensitive data without approval, bypassing security, introducing malware, using resources for personal gain, and unauthorized scanning are prohibited. Exceptions require prior written approval from IT Compliance or Reporting Manager.</w:t>
      </w:r>
    </w:p>
    <w:p>
      <w:pPr>
        <w:spacing w:after="120"/>
      </w:pPr>
    </w:p>
    <w:p>
      <w:pPr>
        <w:spacing w:before="240" w:after="100"/>
        <w:pBdr>
          <w:bottom w:val="single" w:sz="6" w:space="1" w:color="2E4057"/>
        </w:pBdr>
      </w:pPr>
      <w:r>
        <w:rPr>
          <w:rFonts w:ascii="Arial" w:hAnsi="Arial"/>
          <w:b/>
          <w:i w:val="0"/>
          <w:color w:val="2E4057"/>
          <w:sz w:val="26"/>
        </w:rPr>
        <w:t>Monitoring and Compliance Statement</w:t>
      </w:r>
    </w:p>
    <w:p>
      <w:pPr>
        <w:spacing w:after="120"/>
      </w:pPr>
      <w:r>
        <w:rPr>
          <w:rFonts w:ascii="Arial" w:hAnsi="Arial"/>
          <w:b w:val="0"/>
          <w:i w:val="0"/>
          <w:color w:val="222222"/>
          <w:sz w:val="22"/>
        </w:rPr>
        <w:t>turabit monitors network access using SIEM, IDPS, EDR, network traffic analysis, DLP, firewall, user activity logging, and IAM tools. The IT Compliance Officer, alongside the IT Security and Employee Relations Teams, enforces compliance and manages violations to ensure secure and authorized network usage.</w:t>
      </w:r>
    </w:p>
    <w:p>
      <w:pPr>
        <w:spacing w:after="120"/>
      </w:pPr>
    </w:p>
    <w:p>
      <w:pPr>
        <w:spacing w:before="240" w:after="100"/>
        <w:pBdr>
          <w:bottom w:val="single" w:sz="6" w:space="1" w:color="2E4057"/>
        </w:pBdr>
      </w:pPr>
      <w:r>
        <w:rPr>
          <w:rFonts w:ascii="Arial" w:hAnsi="Arial"/>
          <w:b/>
          <w:i w:val="0"/>
          <w:color w:val="2E4057"/>
          <w:sz w:val="26"/>
        </w:rPr>
        <w:t>Consequences of Policy Violations</w:t>
      </w:r>
    </w:p>
    <w:p>
      <w:pPr>
        <w:spacing w:after="120"/>
      </w:pPr>
      <w:r>
        <w:rPr>
          <w:rFonts w:ascii="Arial" w:hAnsi="Arial"/>
          <w:b w:val="0"/>
          <w:i w:val="0"/>
          <w:color w:val="222222"/>
          <w:sz w:val="22"/>
        </w:rPr>
        <w:t>Violations of the Network Access Agreement may result in verbal or written warnings, suspension of access, mandatory training, formal disciplinary action, revocation of privileges, or termination. Financial penalties, legal consequences, and contractual liabilities may also apply. The IT Compliance Officer leads investigations with IT Security and Employee Relations support.</w:t>
      </w:r>
    </w:p>
    <w:p>
      <w:pPr>
        <w:spacing w:after="120"/>
      </w:pPr>
    </w:p>
    <w:p>
      <w:pPr>
        <w:spacing w:before="240" w:after="100"/>
        <w:pBdr>
          <w:bottom w:val="single" w:sz="6" w:space="1" w:color="2E4057"/>
        </w:pBdr>
      </w:pPr>
      <w:r>
        <w:rPr>
          <w:rFonts w:ascii="Arial" w:hAnsi="Arial"/>
          <w:b/>
          <w:i w:val="0"/>
          <w:color w:val="2E4057"/>
          <w:sz w:val="26"/>
        </w:rPr>
        <w:t>Agreement Validity Period</w:t>
      </w:r>
    </w:p>
    <w:p>
      <w:pPr>
        <w:spacing w:after="120"/>
      </w:pPr>
      <w:r>
        <w:rPr>
          <w:rFonts w:ascii="Arial" w:hAnsi="Arial"/>
          <w:b w:val="0"/>
          <w:i w:val="0"/>
          <w:color w:val="222222"/>
          <w:sz w:val="22"/>
        </w:rPr>
        <w:t>The Agreement validity period shall commence on the effective date specified in the final document and continue for a duration mutually agreed upon by both parties. Early termination or extension may occur upon written consent or due to breach of terms, security incidents, or changes in business requirements.</w:t>
      </w:r>
    </w:p>
    <w:p>
      <w:pPr>
        <w:spacing w:after="120"/>
      </w:pPr>
    </w:p>
    <w:p>
      <w:pPr>
        <w:spacing w:before="240" w:after="100"/>
        <w:pBdr>
          <w:bottom w:val="single" w:sz="6" w:space="1" w:color="2E4057"/>
        </w:pBdr>
      </w:pPr>
      <w:r>
        <w:rPr>
          <w:rFonts w:ascii="Arial" w:hAnsi="Arial"/>
          <w:b/>
          <w:i w:val="0"/>
          <w:color w:val="2E4057"/>
          <w:sz w:val="26"/>
        </w:rPr>
        <w:t>User Acknowledgment and Signature</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Network Administrator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Employee</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Department Head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Network Access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Network Access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