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Security Incident Report</w:t>
      </w:r>
    </w:p>
    <w:p>
      <w:pPr>
        <w:spacing w:after="120"/>
      </w:pPr>
      <w:r>
        <w:rPr>
          <w:rFonts w:ascii="Arial" w:hAnsi="Arial"/>
          <w:b w:val="0"/>
          <w:i w:val="0"/>
          <w:color w:val="888888"/>
          <w:sz w:val="20"/>
        </w:rPr>
        <w:t>turabit  ·  IT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security incident was first detected on 16 March 2026 at 11:45 PM IST. The incident was reported by Neha Desai, IT Security Analyst. The unique reference number assigned to this report is INC-SEC-2026-0316-001.</w:t>
      </w:r>
    </w:p>
    <w:p>
      <w:pPr>
        <w:spacing w:after="120"/>
      </w:pPr>
    </w:p>
    <w:p>
      <w:pPr>
        <w:spacing w:before="240" w:after="100"/>
        <w:pBdr>
          <w:bottom w:val="single" w:sz="6" w:space="1" w:color="2E4057"/>
        </w:pBdr>
      </w:pPr>
      <w:r>
        <w:rPr>
          <w:rFonts w:ascii="Arial" w:hAnsi="Arial"/>
          <w:b/>
          <w:i w:val="0"/>
          <w:color w:val="2E4057"/>
          <w:sz w:val="26"/>
        </w:rPr>
        <w:t>Incident Identification</w:t>
      </w:r>
    </w:p>
    <w:p>
      <w:pPr>
        <w:spacing w:after="120"/>
      </w:pPr>
      <w:r>
        <w:rPr>
          <w:rFonts w:ascii="Arial" w:hAnsi="Arial"/>
          <w:b w:val="0"/>
          <w:i w:val="0"/>
          <w:color w:val="222222"/>
          <w:sz w:val="22"/>
        </w:rPr>
        <w:t>The security incident was first detected on 16 March 2026 at 11:45 PM IST by Neha Desai, IT Security Analyst. The incident has been assigned the unique identifier INC-SEC-2026-0316-001 for tracking and resolution purposes.</w:t>
      </w:r>
    </w:p>
    <w:p>
      <w:pPr>
        <w:spacing w:after="120"/>
      </w:pPr>
    </w:p>
    <w:p>
      <w:pPr>
        <w:spacing w:before="240" w:after="100"/>
        <w:pBdr>
          <w:bottom w:val="single" w:sz="6" w:space="1" w:color="2E4057"/>
        </w:pBdr>
      </w:pPr>
      <w:r>
        <w:rPr>
          <w:rFonts w:ascii="Arial" w:hAnsi="Arial"/>
          <w:b/>
          <w:i w:val="0"/>
          <w:color w:val="2E4057"/>
          <w:sz w:val="26"/>
        </w:rPr>
        <w:t>Type of Security Incident</w:t>
      </w:r>
    </w:p>
    <w:p>
      <w:pPr>
        <w:spacing w:after="120"/>
      </w:pPr>
      <w:r>
        <w:rPr>
          <w:rFonts w:ascii="Arial" w:hAnsi="Arial"/>
          <w:b w:val="0"/>
          <w:i w:val="0"/>
          <w:color w:val="222222"/>
          <w:sz w:val="22"/>
        </w:rPr>
        <w:t>The security incident involved unauthorized access to internal systems, potentially leading to data exposure. The incident was first detected on 16 March 2026 at 11:45 PM IST. Immediate measures were initiated to contain and assess the impact on sensitive information.</w:t>
      </w:r>
    </w:p>
    <w:p>
      <w:pPr>
        <w:spacing w:after="120"/>
      </w:pPr>
    </w:p>
    <w:p>
      <w:pPr>
        <w:spacing w:before="240" w:after="100"/>
        <w:pBdr>
          <w:bottom w:val="single" w:sz="6" w:space="1" w:color="2E4057"/>
        </w:pBdr>
      </w:pPr>
      <w:r>
        <w:rPr>
          <w:rFonts w:ascii="Arial" w:hAnsi="Arial"/>
          <w:b/>
          <w:i w:val="0"/>
          <w:color w:val="2E4057"/>
          <w:sz w:val="26"/>
        </w:rPr>
        <w:t>Affected Systems or Data</w:t>
      </w:r>
    </w:p>
    <w:p>
      <w:pPr>
        <w:spacing w:after="120"/>
      </w:pPr>
      <w:r>
        <w:rPr>
          <w:rFonts w:ascii="Arial" w:hAnsi="Arial"/>
          <w:b w:val="0"/>
          <w:i w:val="0"/>
          <w:color w:val="222222"/>
          <w:sz w:val="22"/>
        </w:rPr>
        <w:t>The security incident impacted the following systems and data:</w:t>
      </w:r>
    </w:p>
    <w:p>
      <w:pPr>
        <w:spacing w:after="80"/>
      </w:pPr>
    </w:p>
    <w:p>
      <w:pPr>
        <w:spacing w:after="80"/>
        <w:ind w:left="360"/>
      </w:pPr>
      <w:r>
        <w:rPr>
          <w:rFonts w:ascii="Arial" w:hAnsi="Arial"/>
          <w:b w:val="0"/>
          <w:i w:val="0"/>
          <w:color w:val="222222"/>
          <w:sz w:val="22"/>
        </w:rPr>
        <w:t>1. Customer Relationship Management (CRM) System</w:t>
      </w:r>
    </w:p>
    <w:p>
      <w:pPr>
        <w:spacing w:after="80"/>
        <w:ind w:left="360"/>
      </w:pPr>
      <w:r>
        <w:rPr>
          <w:rFonts w:ascii="Arial" w:hAnsi="Arial"/>
          <w:b w:val="0"/>
          <w:i w:val="0"/>
          <w:color w:val="222222"/>
          <w:sz w:val="22"/>
        </w:rPr>
        <w:t>2. User Authentication Server</w:t>
      </w:r>
    </w:p>
    <w:p>
      <w:pPr>
        <w:spacing w:after="80"/>
        <w:ind w:left="360"/>
      </w:pPr>
      <w:r>
        <w:rPr>
          <w:rFonts w:ascii="Arial" w:hAnsi="Arial"/>
          <w:b w:val="0"/>
          <w:i w:val="0"/>
          <w:color w:val="222222"/>
          <w:sz w:val="22"/>
        </w:rPr>
        <w:t>3. Customer Database</w:t>
      </w:r>
    </w:p>
    <w:p>
      <w:pPr>
        <w:spacing w:after="80"/>
      </w:pPr>
    </w:p>
    <w:p>
      <w:pPr>
        <w:spacing w:after="120"/>
      </w:pPr>
      <w:r>
        <w:rPr>
          <w:rFonts w:ascii="Arial" w:hAnsi="Arial"/>
          <w:b w:val="0"/>
          <w:i w:val="0"/>
          <w:color w:val="222222"/>
          <w:sz w:val="22"/>
        </w:rPr>
        <w:t>Compromised data included personal information, account credentials, and limited customer transaction records.</w:t>
      </w:r>
    </w:p>
    <w:p>
      <w:pPr>
        <w:spacing w:after="120"/>
      </w:pPr>
    </w:p>
    <w:p>
      <w:pPr>
        <w:spacing w:before="240" w:after="100"/>
        <w:pBdr>
          <w:bottom w:val="single" w:sz="6" w:space="1" w:color="2E4057"/>
        </w:pBdr>
      </w:pPr>
      <w:r>
        <w:rPr>
          <w:rFonts w:ascii="Arial" w:hAnsi="Arial"/>
          <w:b/>
          <w:i w:val="0"/>
          <w:color w:val="2E4057"/>
          <w:sz w:val="26"/>
        </w:rPr>
        <w:t>Date and Time of Incident</w:t>
      </w:r>
    </w:p>
    <w:p>
      <w:pPr>
        <w:spacing w:after="120"/>
      </w:pPr>
      <w:r>
        <w:rPr>
          <w:rFonts w:ascii="Arial" w:hAnsi="Arial"/>
          <w:b w:val="0"/>
          <w:i w:val="0"/>
          <w:color w:val="222222"/>
          <w:sz w:val="22"/>
        </w:rPr>
        <w:t>The security incident occurred on 16 March 2026. The initial occurrence was recorded at 11:45 PM Indian Standard Time (IST). All timestamps related to the incident are aligned with the local time zone for consistency and accuracy in reporting and analysis.</w:t>
      </w:r>
    </w:p>
    <w:p>
      <w:pPr>
        <w:spacing w:after="120"/>
      </w:pPr>
    </w:p>
    <w:p>
      <w:pPr>
        <w:spacing w:before="240" w:after="100"/>
        <w:pBdr>
          <w:bottom w:val="single" w:sz="6" w:space="1" w:color="2E4057"/>
        </w:pBdr>
      </w:pPr>
      <w:r>
        <w:rPr>
          <w:rFonts w:ascii="Arial" w:hAnsi="Arial"/>
          <w:b/>
          <w:i w:val="0"/>
          <w:color w:val="2E4057"/>
          <w:sz w:val="26"/>
        </w:rPr>
        <w:t>Incident Description</w:t>
      </w:r>
    </w:p>
    <w:p>
      <w:pPr>
        <w:spacing w:after="120"/>
      </w:pPr>
      <w:r>
        <w:rPr>
          <w:rFonts w:ascii="Arial" w:hAnsi="Arial"/>
          <w:b w:val="0"/>
          <w:i w:val="0"/>
          <w:color w:val="222222"/>
          <w:sz w:val="22"/>
        </w:rPr>
        <w:t>On 15 March 2026 at 09:42 AM IST, the automated Security Information and Event Management system detected suspicious activity. The IT Compliance Officer verified the incident affecting the CRM system, internal employee database, cloud file storage, corporate email server, and API gateway.</w:t>
      </w:r>
    </w:p>
    <w:p>
      <w:pPr>
        <w:spacing w:after="120"/>
      </w:pPr>
    </w:p>
    <w:p>
      <w:pPr>
        <w:spacing w:before="240" w:after="100"/>
        <w:pBdr>
          <w:bottom w:val="single" w:sz="6" w:space="1" w:color="2E4057"/>
        </w:pBdr>
      </w:pPr>
      <w:r>
        <w:rPr>
          <w:rFonts w:ascii="Arial" w:hAnsi="Arial"/>
          <w:b/>
          <w:i w:val="0"/>
          <w:color w:val="2E4057"/>
          <w:sz w:val="26"/>
        </w:rPr>
        <w:t>Impact Assessment</w:t>
      </w:r>
    </w:p>
    <w:p>
      <w:pPr>
        <w:spacing w:after="120"/>
      </w:pPr>
      <w:r>
        <w:rPr>
          <w:rFonts w:ascii="Arial" w:hAnsi="Arial"/>
          <w:b w:val="0"/>
          <w:i w:val="0"/>
          <w:color w:val="222222"/>
          <w:sz w:val="22"/>
        </w:rPr>
        <w:t>The incident impacted critical systems including ERP, customer database, internal communications, cloud storage, web applications, and authentication services for approximately six hours. Financial losses totaled USD 18,500 with no permanent data loss but limited exposure of non-critical records occurred.</w:t>
      </w:r>
    </w:p>
    <w:p>
      <w:pPr>
        <w:spacing w:after="120"/>
      </w:pPr>
    </w:p>
    <w:p>
      <w:pPr>
        <w:spacing w:before="240" w:after="100"/>
        <w:pBdr>
          <w:bottom w:val="single" w:sz="6" w:space="1" w:color="2E4057"/>
        </w:pBdr>
      </w:pPr>
      <w:r>
        <w:rPr>
          <w:rFonts w:ascii="Arial" w:hAnsi="Arial"/>
          <w:b/>
          <w:i w:val="0"/>
          <w:color w:val="2E4057"/>
          <w:sz w:val="26"/>
        </w:rPr>
        <w:t>Immediate Response Actions</w:t>
      </w:r>
    </w:p>
    <w:p>
      <w:pPr>
        <w:spacing w:after="120"/>
      </w:pPr>
      <w:r>
        <w:rPr>
          <w:rFonts w:ascii="Arial" w:hAnsi="Arial"/>
          <w:b w:val="0"/>
          <w:i w:val="0"/>
          <w:color w:val="222222"/>
          <w:sz w:val="22"/>
        </w:rPr>
        <w:t>Upon detecting a security incident, turabit IT immediately isolates affected systems to prevent spread. The Incident Response Plan is activated, and the IT Security team is notified. The IT Compliance Officer leads response efforts, overseeing assessment, containment, evidence preservation, and stakeholder communication.</w:t>
      </w:r>
    </w:p>
    <w:p>
      <w:pPr>
        <w:spacing w:after="120"/>
      </w:pPr>
    </w:p>
    <w:p>
      <w:pPr>
        <w:spacing w:before="240" w:after="100"/>
        <w:pBdr>
          <w:bottom w:val="single" w:sz="6" w:space="1" w:color="2E4057"/>
        </w:pBdr>
      </w:pPr>
      <w:r>
        <w:rPr>
          <w:rFonts w:ascii="Arial" w:hAnsi="Arial"/>
          <w:b/>
          <w:i w:val="0"/>
          <w:color w:val="2E4057"/>
          <w:sz w:val="26"/>
        </w:rPr>
        <w:t>Investigation Findings</w:t>
      </w:r>
    </w:p>
    <w:p>
      <w:pPr>
        <w:spacing w:after="120"/>
      </w:pPr>
      <w:r>
        <w:rPr>
          <w:rFonts w:ascii="Arial" w:hAnsi="Arial"/>
          <w:b w:val="0"/>
          <w:i w:val="0"/>
          <w:color w:val="222222"/>
          <w:sz w:val="22"/>
        </w:rPr>
        <w:t>Investigation revealed outdated software, weak password policies, misconfigured firewall settings, insufficient monitoring, delayed patch management, inadequate logging, and exposed API endpoints. The IT Security Team, Compliance Officer, System Administrators, external consultants, Employee Relations, and Reporting Manager collaboratively identified and validated these vulnerabilities.</w:t>
      </w:r>
    </w:p>
    <w:p>
      <w:pPr>
        <w:spacing w:after="120"/>
      </w:pPr>
    </w:p>
    <w:p>
      <w:pPr>
        <w:spacing w:before="240" w:after="100"/>
        <w:pBdr>
          <w:bottom w:val="single" w:sz="6" w:space="1" w:color="2E4057"/>
        </w:pBdr>
      </w:pPr>
      <w:r>
        <w:rPr>
          <w:rFonts w:ascii="Arial" w:hAnsi="Arial"/>
          <w:b/>
          <w:i w:val="0"/>
          <w:color w:val="2E4057"/>
          <w:sz w:val="26"/>
        </w:rPr>
        <w:t>Root Cause Analysis</w:t>
      </w:r>
    </w:p>
    <w:p>
      <w:pPr>
        <w:spacing w:after="120"/>
      </w:pPr>
      <w:r>
        <w:rPr>
          <w:rFonts w:ascii="Arial" w:hAnsi="Arial"/>
          <w:b w:val="0"/>
          <w:i w:val="0"/>
          <w:color w:val="222222"/>
          <w:sz w:val="22"/>
        </w:rPr>
        <w:t>The root cause analysis is ongoing to identify specific technical or procedural failures. The IT security team is responsible for determining and reporting the root cause. Preliminary actions are focused on containment, with corrective measures to be implemented following detailed investigation.</w:t>
      </w:r>
    </w:p>
    <w:p>
      <w:pPr>
        <w:spacing w:after="120"/>
      </w:pPr>
    </w:p>
    <w:p>
      <w:pPr>
        <w:spacing w:before="240" w:after="100"/>
        <w:pBdr>
          <w:bottom w:val="single" w:sz="6" w:space="1" w:color="2E4057"/>
        </w:pBdr>
      </w:pPr>
      <w:r>
        <w:rPr>
          <w:rFonts w:ascii="Arial" w:hAnsi="Arial"/>
          <w:b/>
          <w:i w:val="0"/>
          <w:color w:val="2E4057"/>
          <w:sz w:val="26"/>
        </w:rPr>
        <w:t>Corrective Actions Taken</w:t>
      </w:r>
    </w:p>
    <w:p>
      <w:pPr>
        <w:spacing w:after="120"/>
      </w:pPr>
      <w:r>
        <w:rPr>
          <w:rFonts w:ascii="Arial" w:hAnsi="Arial"/>
          <w:b w:val="0"/>
          <w:i w:val="0"/>
          <w:color w:val="222222"/>
          <w:sz w:val="22"/>
        </w:rPr>
        <w:t>Corrective actions included patching vulnerabilities, updating firewall configurations, and enhancing monitoring tools. The IT Security Manager oversaw execution, supported by the network team. All measures were completed and verified as effective within two weeks following incident detection.</w:t>
      </w:r>
    </w:p>
    <w:p>
      <w:pPr>
        <w:spacing w:after="120"/>
      </w:pPr>
    </w:p>
    <w:p>
      <w:pPr>
        <w:spacing w:before="240" w:after="100"/>
        <w:pBdr>
          <w:bottom w:val="single" w:sz="6" w:space="1" w:color="2E4057"/>
        </w:pBdr>
      </w:pPr>
      <w:r>
        <w:rPr>
          <w:rFonts w:ascii="Arial" w:hAnsi="Arial"/>
          <w:b/>
          <w:i w:val="0"/>
          <w:color w:val="2E4057"/>
          <w:sz w:val="26"/>
        </w:rPr>
        <w:t>Preventive Security Measures</w:t>
      </w:r>
    </w:p>
    <w:p>
      <w:pPr>
        <w:spacing w:after="120"/>
      </w:pPr>
      <w:r>
        <w:rPr>
          <w:rFonts w:ascii="Arial" w:hAnsi="Arial"/>
          <w:b w:val="0"/>
          <w:i w:val="0"/>
          <w:color w:val="222222"/>
          <w:sz w:val="22"/>
        </w:rPr>
        <w:t>Turabit employs multi-layered security controls, including firewalls, intrusion detection systems, and regular software updates. The IT security team continuously monitors compliance and performance. Effectiveness is assessed through incident response times, vulnerability scans, and periodic security audits.</w:t>
      </w:r>
    </w:p>
    <w:p>
      <w:pPr>
        <w:spacing w:after="120"/>
      </w:pPr>
    </w:p>
    <w:p>
      <w:pPr>
        <w:spacing w:before="240" w:after="100"/>
        <w:pBdr>
          <w:bottom w:val="single" w:sz="6" w:space="1" w:color="2E4057"/>
        </w:pBdr>
      </w:pPr>
      <w:r>
        <w:rPr>
          <w:rFonts w:ascii="Arial" w:hAnsi="Arial"/>
          <w:b/>
          <w:i w:val="0"/>
          <w:color w:val="2E4057"/>
          <w:sz w:val="26"/>
        </w:rPr>
        <w:t>Compliance and Reporting Requirements</w:t>
      </w:r>
    </w:p>
    <w:p>
      <w:pPr>
        <w:spacing w:after="120"/>
      </w:pPr>
      <w:r>
        <w:rPr>
          <w:rFonts w:ascii="Arial" w:hAnsi="Arial"/>
          <w:b w:val="0"/>
          <w:i w:val="0"/>
          <w:color w:val="222222"/>
          <w:sz w:val="22"/>
        </w:rPr>
        <w:t>Security incidents must be reported internally within 24 hours and externally within 72 hours as per industry best practices. The IT Compliance Team oversees reporting. turabit adheres to ISO 27001, GDPR, and applicable Indian data protection regulations.</w:t>
      </w:r>
    </w:p>
    <w:p>
      <w:pPr>
        <w:spacing w:after="120"/>
      </w:pPr>
    </w:p>
    <w:p>
      <w:pPr>
        <w:spacing w:before="240" w:after="100"/>
        <w:pBdr>
          <w:bottom w:val="single" w:sz="6" w:space="1" w:color="2E4057"/>
        </w:pBdr>
      </w:pPr>
      <w:r>
        <w:rPr>
          <w:rFonts w:ascii="Arial" w:hAnsi="Arial"/>
          <w:b/>
          <w:i w:val="0"/>
          <w:color w:val="2E4057"/>
          <w:sz w:val="26"/>
        </w:rPr>
        <w:t>Management Review and Approval</w:t>
      </w:r>
    </w:p>
    <w:p>
      <w:pPr>
        <w:spacing w:after="120"/>
      </w:pPr>
      <w:r>
        <w:rPr>
          <w:rFonts w:ascii="Arial" w:hAnsi="Arial"/>
          <w:b w:val="0"/>
          <w:i w:val="0"/>
          <w:color w:val="222222"/>
          <w:sz w:val="22"/>
        </w:rPr>
        <w:t>This document requires the following authorised signatures for formal approval and sign-off.</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Security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Incident Response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Chief Information Officer (CIO)</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Security Incident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Security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