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System Upgrade Proposal</w:t>
      </w:r>
    </w:p>
    <w:p>
      <w:pPr>
        <w:spacing w:after="120"/>
      </w:pPr>
      <w:r>
        <w:rPr>
          <w:rFonts w:ascii="Arial" w:hAnsi="Arial"/>
          <w:b w:val="0"/>
          <w:i w:val="0"/>
          <w:color w:val="888888"/>
          <w:sz w:val="20"/>
        </w:rPr>
        <w:t>turabit  ·  IT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Proposal Information</w:t>
      </w:r>
    </w:p>
    <w:p>
      <w:pPr>
        <w:spacing w:after="120"/>
      </w:pPr>
      <w:r>
        <w:rPr>
          <w:rFonts w:ascii="Arial" w:hAnsi="Arial"/>
          <w:b w:val="0"/>
          <w:i w:val="0"/>
          <w:color w:val="222222"/>
          <w:sz w:val="22"/>
        </w:rPr>
        <w:t>The system upgrade is scheduled to commence on 01 May 2026 and complete by 30 June 2026. The designated project lead responsible for overseeing the upgrade is the IT Project Manager. The estimated budget allocated for the successful completion of this upgrade is INR 25,00,000, ensuring all necessary resources and contingencies are covered.</w:t>
      </w:r>
    </w:p>
    <w:p>
      <w:pPr>
        <w:spacing w:after="120"/>
      </w:pPr>
    </w:p>
    <w:p>
      <w:pPr>
        <w:spacing w:before="240" w:after="100"/>
        <w:pBdr>
          <w:bottom w:val="single" w:sz="6" w:space="1" w:color="2E4057"/>
        </w:pBdr>
      </w:pPr>
      <w:r>
        <w:rPr>
          <w:rFonts w:ascii="Arial" w:hAnsi="Arial"/>
          <w:b/>
          <w:i w:val="0"/>
          <w:color w:val="2E4057"/>
          <w:sz w:val="26"/>
        </w:rPr>
        <w:t>Current System Overview</w:t>
      </w:r>
    </w:p>
    <w:p>
      <w:pPr>
        <w:spacing w:after="120"/>
      </w:pPr>
      <w:r>
        <w:rPr>
          <w:rFonts w:ascii="Arial" w:hAnsi="Arial"/>
          <w:b w:val="0"/>
          <w:i w:val="0"/>
          <w:color w:val="222222"/>
          <w:sz w:val="22"/>
        </w:rPr>
        <w:t>The current system utilizes React.js, Node.js with Express, PostgreSQL, and AWS infrastructure including EC2, S3, and RDS. It employs RESTful APIs, OAuth 2.0, JWT authentication, and Git-based version control. Identified limitations include scalability constraints, performance bottlenecks, outdated UI, security gaps, limited integrations, manual workflows, and insufficient analytics capabilities.</w:t>
      </w:r>
    </w:p>
    <w:p>
      <w:pPr>
        <w:spacing w:after="120"/>
      </w:pPr>
    </w:p>
    <w:p>
      <w:pPr>
        <w:spacing w:before="240" w:after="100"/>
        <w:pBdr>
          <w:bottom w:val="single" w:sz="6" w:space="1" w:color="2E4057"/>
        </w:pBdr>
      </w:pPr>
      <w:r>
        <w:rPr>
          <w:rFonts w:ascii="Arial" w:hAnsi="Arial"/>
          <w:b/>
          <w:i w:val="0"/>
          <w:color w:val="2E4057"/>
          <w:sz w:val="26"/>
        </w:rPr>
        <w:t>Purpose of the Upgrade</w:t>
      </w:r>
    </w:p>
    <w:p>
      <w:pPr>
        <w:spacing w:after="120"/>
      </w:pPr>
      <w:r>
        <w:rPr>
          <w:rFonts w:ascii="Arial" w:hAnsi="Arial"/>
          <w:b w:val="0"/>
          <w:i w:val="0"/>
          <w:color w:val="222222"/>
          <w:sz w:val="22"/>
        </w:rPr>
        <w:t>The upgrade addresses inefficient manual workflows, limited scalability, data inconsistencies, poor user experience, integration challenges, and delayed reporting. Expected outcomes include 30–40% operational efficiency gains, 50% faster system response, improved data accuracy, seamless integrations, enhanced security, real-time analytics, and increased user productivity, supporting turabit’s growth and competitiveness.</w:t>
      </w:r>
    </w:p>
    <w:p>
      <w:pPr>
        <w:spacing w:after="120"/>
      </w:pPr>
    </w:p>
    <w:p>
      <w:pPr>
        <w:spacing w:before="240" w:after="100"/>
        <w:pBdr>
          <w:bottom w:val="single" w:sz="6" w:space="1" w:color="2E4057"/>
        </w:pBdr>
      </w:pPr>
      <w:r>
        <w:rPr>
          <w:rFonts w:ascii="Arial" w:hAnsi="Arial"/>
          <w:b/>
          <w:i w:val="0"/>
          <w:color w:val="2E4057"/>
          <w:sz w:val="26"/>
        </w:rPr>
        <w:t>Identified System Limitations</w:t>
      </w:r>
    </w:p>
    <w:p>
      <w:pPr>
        <w:spacing w:after="120"/>
      </w:pPr>
      <w:r>
        <w:rPr>
          <w:rFonts w:ascii="Arial" w:hAnsi="Arial"/>
          <w:b w:val="0"/>
          <w:i w:val="0"/>
          <w:color w:val="222222"/>
          <w:sz w:val="22"/>
        </w:rPr>
        <w:t>The current system exhibits slow response times during peak hours, frequent downtime with 3–4 incidents monthly, and limited capacity for large data volumes. Key departments affected include Operations, Finance, HR, Customer Support, and IT. Additional issues involve inconsistent performance, inefficient batch processing, and security vulnerabilities impacting transaction success and user experience.</w:t>
      </w:r>
    </w:p>
    <w:p>
      <w:pPr>
        <w:spacing w:after="120"/>
      </w:pPr>
    </w:p>
    <w:p>
      <w:pPr>
        <w:spacing w:before="240" w:after="100"/>
        <w:pBdr>
          <w:bottom w:val="single" w:sz="6" w:space="1" w:color="2E4057"/>
        </w:pBdr>
      </w:pPr>
      <w:r>
        <w:rPr>
          <w:rFonts w:ascii="Arial" w:hAnsi="Arial"/>
          <w:b/>
          <w:i w:val="0"/>
          <w:color w:val="2E4057"/>
          <w:sz w:val="26"/>
        </w:rPr>
        <w:t>Proposed Upgrade Solution</w:t>
      </w:r>
    </w:p>
    <w:p>
      <w:pPr>
        <w:spacing w:after="120"/>
      </w:pPr>
      <w:r>
        <w:rPr>
          <w:rFonts w:ascii="Arial" w:hAnsi="Arial"/>
          <w:b w:val="0"/>
          <w:i w:val="0"/>
          <w:color w:val="222222"/>
          <w:sz w:val="22"/>
        </w:rPr>
        <w:t>The proposed upgrade involves migration to scalable cloud-native architecture on AWS or Azure. Key improvements include microservices backend, optimized database performance, modern responsive UI, advanced security with multi-factor authentication, real-time analytics, enhanced APIs, automated workflows, and improved monitoring. The project spans from May 1 to July 31, 2026, covering design, development, testing, deployment, and support.</w:t>
      </w:r>
    </w:p>
    <w:p>
      <w:pPr>
        <w:spacing w:after="120"/>
      </w:pPr>
    </w:p>
    <w:p>
      <w:pPr>
        <w:spacing w:before="240" w:after="100"/>
        <w:pBdr>
          <w:bottom w:val="single" w:sz="6" w:space="1" w:color="2E4057"/>
        </w:pBdr>
      </w:pPr>
      <w:r>
        <w:rPr>
          <w:rFonts w:ascii="Arial" w:hAnsi="Arial"/>
          <w:b/>
          <w:i w:val="0"/>
          <w:color w:val="2E4057"/>
          <w:sz w:val="26"/>
        </w:rPr>
        <w:t>Technical Requirements</w:t>
      </w:r>
    </w:p>
    <w:p>
      <w:pPr>
        <w:spacing w:after="120"/>
      </w:pPr>
      <w:r>
        <w:rPr>
          <w:rFonts w:ascii="Arial" w:hAnsi="Arial"/>
          <w:b w:val="0"/>
          <w:i w:val="0"/>
          <w:color w:val="222222"/>
          <w:sz w:val="22"/>
        </w:rPr>
        <w:t>Minimum hardware requirements include Intel Core i5 or AMD Ryzen 5 processor, 8 GB RAM, 256 GB SSD, Windows 10 or Ubuntu 20.04+, and PostgreSQL 12+. Recommended specifications are Intel Core i7 or Ryzen 7, 16 GB RAM, 512 GB SSD, latest OS versions, PostgreSQL 14+, and Node.js 18+.</w:t>
      </w:r>
    </w:p>
    <w:p>
      <w:pPr>
        <w:spacing w:after="120"/>
      </w:pPr>
    </w:p>
    <w:p>
      <w:pPr>
        <w:spacing w:before="240" w:after="100"/>
        <w:pBdr>
          <w:bottom w:val="single" w:sz="6" w:space="1" w:color="2E4057"/>
        </w:pBdr>
      </w:pPr>
      <w:r>
        <w:rPr>
          <w:rFonts w:ascii="Arial" w:hAnsi="Arial"/>
          <w:b/>
          <w:i w:val="0"/>
          <w:color w:val="2E4057"/>
          <w:sz w:val="26"/>
        </w:rPr>
        <w:t>Implementation Plan</w:t>
      </w:r>
    </w:p>
    <w:p>
      <w:pPr>
        <w:spacing w:after="120"/>
      </w:pPr>
      <w:r>
        <w:rPr>
          <w:rFonts w:ascii="Arial" w:hAnsi="Arial"/>
          <w:b w:val="0"/>
          <w:i w:val="0"/>
          <w:color w:val="222222"/>
          <w:sz w:val="22"/>
        </w:rPr>
        <w:t>The implementation plan spans from May 1 to July 31, 2026, covering eight phases: project planning, requirement analysis, system design, development, testing and QA, user acceptance testing, deployment, and post-go-live support. The IT Project Manager will oversee all activities. Resources include Jira, Visual Studio Code, AWS, Selenium, Microsoft Teams, and dedicated development and QA teams.</w:t>
      </w:r>
    </w:p>
    <w:p>
      <w:pPr>
        <w:spacing w:after="120"/>
      </w:pPr>
    </w:p>
    <w:p>
      <w:pPr>
        <w:spacing w:before="240" w:after="100"/>
        <w:pBdr>
          <w:bottom w:val="single" w:sz="6" w:space="1" w:color="2E4057"/>
        </w:pBdr>
      </w:pPr>
      <w:r>
        <w:rPr>
          <w:rFonts w:ascii="Arial" w:hAnsi="Arial"/>
          <w:b/>
          <w:i w:val="0"/>
          <w:color w:val="2E4057"/>
          <w:sz w:val="26"/>
        </w:rPr>
        <w:t>Upgrade Timeline</w:t>
      </w:r>
    </w:p>
    <w:p>
      <w:pPr>
        <w:spacing w:after="120"/>
      </w:pPr>
      <w:r>
        <w:rPr>
          <w:rFonts w:ascii="Arial" w:hAnsi="Arial"/>
          <w:b w:val="0"/>
          <w:i w:val="0"/>
          <w:color w:val="222222"/>
          <w:sz w:val="22"/>
        </w:rPr>
        <w:t>The system upgrade is scheduled from 01 May 2026 to 31 July 2026. Key milestones include:</w:t>
      </w:r>
    </w:p>
    <w:p>
      <w:pPr>
        <w:spacing w:after="80"/>
      </w:pPr>
    </w:p>
    <w:p>
      <w:pPr>
        <w:spacing w:after="80"/>
        <w:ind w:left="360"/>
      </w:pPr>
      <w:r>
        <w:rPr>
          <w:rFonts w:ascii="Arial" w:hAnsi="Arial"/>
          <w:b w:val="0"/>
          <w:i w:val="0"/>
          <w:color w:val="222222"/>
          <w:sz w:val="22"/>
        </w:rPr>
        <w:t>1. Project Planning and Requirement Analysis</w:t>
      </w:r>
    </w:p>
    <w:p>
      <w:pPr>
        <w:spacing w:after="80"/>
        <w:ind w:left="360"/>
      </w:pPr>
      <w:r>
        <w:rPr>
          <w:rFonts w:ascii="Arial" w:hAnsi="Arial"/>
          <w:b w:val="0"/>
          <w:i w:val="0"/>
          <w:color w:val="222222"/>
          <w:sz w:val="22"/>
        </w:rPr>
        <w:t>2. System Design and Architecture Finalization</w:t>
      </w:r>
    </w:p>
    <w:p>
      <w:pPr>
        <w:spacing w:after="80"/>
        <w:ind w:left="360"/>
      </w:pPr>
      <w:r>
        <w:rPr>
          <w:rFonts w:ascii="Arial" w:hAnsi="Arial"/>
          <w:b w:val="0"/>
          <w:i w:val="0"/>
          <w:color w:val="222222"/>
          <w:sz w:val="22"/>
        </w:rPr>
        <w:t>3. Development and Integration Phase</w:t>
      </w:r>
    </w:p>
    <w:p>
      <w:pPr>
        <w:spacing w:after="80"/>
        <w:ind w:left="360"/>
      </w:pPr>
      <w:r>
        <w:rPr>
          <w:rFonts w:ascii="Arial" w:hAnsi="Arial"/>
          <w:b w:val="0"/>
          <w:i w:val="0"/>
          <w:color w:val="222222"/>
          <w:sz w:val="22"/>
        </w:rPr>
        <w:t>4. Testing and Quality Assurance</w:t>
      </w:r>
    </w:p>
    <w:p>
      <w:pPr>
        <w:spacing w:after="80"/>
        <w:ind w:left="360"/>
      </w:pPr>
      <w:r>
        <w:rPr>
          <w:rFonts w:ascii="Arial" w:hAnsi="Arial"/>
          <w:b w:val="0"/>
          <w:i w:val="0"/>
          <w:color w:val="222222"/>
          <w:sz w:val="22"/>
        </w:rPr>
        <w:t>5. User Acceptance Testing</w:t>
      </w:r>
    </w:p>
    <w:p>
      <w:pPr>
        <w:spacing w:after="80"/>
        <w:ind w:left="360"/>
      </w:pPr>
      <w:r>
        <w:rPr>
          <w:rFonts w:ascii="Arial" w:hAnsi="Arial"/>
          <w:b w:val="0"/>
          <w:i w:val="0"/>
          <w:color w:val="222222"/>
          <w:sz w:val="22"/>
        </w:rPr>
        <w:t>6. Deployment and Go-Live</w:t>
      </w:r>
    </w:p>
    <w:p>
      <w:pPr>
        <w:spacing w:after="80"/>
        <w:ind w:left="360"/>
      </w:pPr>
      <w:r>
        <w:rPr>
          <w:rFonts w:ascii="Arial" w:hAnsi="Arial"/>
          <w:b w:val="0"/>
          <w:i w:val="0"/>
          <w:color w:val="222222"/>
          <w:sz w:val="22"/>
        </w:rPr>
        <w:t>7. Post-Implementation Support and Monitoring</w:t>
      </w:r>
    </w:p>
    <w:p>
      <w:pPr>
        <w:spacing w:after="120"/>
      </w:pPr>
    </w:p>
    <w:p>
      <w:pPr>
        <w:spacing w:before="240" w:after="100"/>
        <w:pBdr>
          <w:bottom w:val="single" w:sz="6" w:space="1" w:color="2E4057"/>
        </w:pBdr>
      </w:pPr>
      <w:r>
        <w:rPr>
          <w:rFonts w:ascii="Arial" w:hAnsi="Arial"/>
          <w:b/>
          <w:i w:val="0"/>
          <w:color w:val="2E4057"/>
          <w:sz w:val="26"/>
        </w:rPr>
        <w:t>Cost Estimate and Budget</w:t>
      </w:r>
    </w:p>
    <w:p>
      <w:pPr>
        <w:spacing w:after="120"/>
      </w:pPr>
      <w:r>
        <w:rPr>
          <w:rFonts w:ascii="Arial" w:hAnsi="Arial"/>
          <w:b w:val="0"/>
          <w:i w:val="0"/>
          <w:color w:val="222222"/>
          <w:sz w:val="22"/>
        </w:rPr>
        <w:t>The following table provides a detailed cost-benefit analysis for the proposed system upgrade, including current costs, upgrade investments, projected annual savings, return on investment, and payback periods for fiscal year 2026.</w:t>
      </w:r>
    </w:p>
    <w:p>
      <w:pPr>
        <w:spacing w:after="80"/>
      </w:pPr>
    </w:p>
    <w:tbl>
      <w:tblPr>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Cost Item</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Current State Cost (USD)</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Upgrade Cost (USD)</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Annual Savings (USD)</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ROI (%)</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Payback Period (years)</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Infrastructure Maintenance</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120000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80000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40000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Manual Operations</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90000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40000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50000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125</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System Downtime Loss</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70000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20000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50000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250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0.8</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Software Licensing</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60000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45000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15000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33</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Support and Maintenance</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85000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50000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35000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1.5</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Data Processing Efficiency</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100000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60000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40000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66</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1.8</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Security Incident Costs</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50000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20000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30000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150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Risk Assessment</w:t>
      </w:r>
    </w:p>
    <w:p>
      <w:pPr>
        <w:spacing w:after="120"/>
      </w:pPr>
      <w:r>
        <w:rPr>
          <w:rFonts w:ascii="Arial" w:hAnsi="Arial"/>
          <w:b w:val="0"/>
          <w:i w:val="0"/>
          <w:color w:val="222222"/>
          <w:sz w:val="22"/>
        </w:rPr>
        <w:t>Identified risks include system downtime, data loss, integration failures, security vulnerabilities, user resistance, performance issues, and resource delays. Mitigation strategies involve phased deployment, data backups, thorough testing, security audits, user training, performance monitoring, and resource buffers. The IT Project Manager, IT Compliance Officer, and Risk Management Team will monitor and manage risks throughout the upgrade process.</w:t>
      </w:r>
    </w:p>
    <w:p>
      <w:pPr>
        <w:spacing w:after="120"/>
      </w:pPr>
    </w:p>
    <w:p>
      <w:pPr>
        <w:spacing w:before="240" w:after="100"/>
        <w:pBdr>
          <w:bottom w:val="single" w:sz="6" w:space="1" w:color="2E4057"/>
        </w:pBdr>
      </w:pPr>
      <w:r>
        <w:rPr>
          <w:rFonts w:ascii="Arial" w:hAnsi="Arial"/>
          <w:b/>
          <w:i w:val="0"/>
          <w:color w:val="2E4057"/>
          <w:sz w:val="26"/>
        </w:rPr>
        <w:t>Expected Benefits</w:t>
      </w:r>
    </w:p>
    <w:p>
      <w:pPr>
        <w:spacing w:after="120"/>
      </w:pPr>
      <w:r>
        <w:rPr>
          <w:rFonts w:ascii="Arial" w:hAnsi="Arial"/>
          <w:b w:val="0"/>
          <w:i w:val="0"/>
          <w:color w:val="222222"/>
          <w:sz w:val="22"/>
        </w:rPr>
        <w:t>The system upgrade is expected to enhance overall performance, increase operational efficiency, and reduce downtime across multiple departments. Key benefits include improved processing speeds, streamlined workflows, and better resource utilization. Primary users such as IT, development, and customer support teams will experience increased productivity and system reliability, supporting turabit’s growth and service quality objectives.</w:t>
      </w:r>
    </w:p>
    <w:p>
      <w:pPr>
        <w:spacing w:after="400"/>
      </w:pPr>
    </w:p>
    <w:p>
      <w:pPr>
        <w:jc w:val="center"/>
      </w:pPr>
      <w:r>
        <w:rPr>
          <w:rFonts w:ascii="Arial" w:hAnsi="Arial"/>
          <w:b w:val="0"/>
          <w:i w:val="0"/>
          <w:color w:val="888888"/>
          <w:sz w:val="16"/>
        </w:rPr>
        <w:t>System Upgrade Proposal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System Upgrade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