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Licensing Agreement</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Agreement Title and Effective Date</w:t>
      </w:r>
    </w:p>
    <w:p>
      <w:pPr>
        <w:spacing w:after="120"/>
      </w:pPr>
      <w:r>
        <w:rPr>
          <w:rFonts w:ascii="Arial" w:hAnsi="Arial"/>
          <w:b w:val="0"/>
          <w:color w:val="222222"/>
          <w:sz w:val="22"/>
        </w:rPr>
        <w:t>This Software Licensing Agreement ("Agreement") is entered into by and between the parties as of the Effective Date. The Effective Date of this Agreement is 01 April 2026. From this date forward, the terms and conditions set forth herein shall govern the rights and obligations of the parties regarding the licensing of software. All references to the Agreement shall be construed to mean this Software Licensing Agreement, effective as of the specified date. Any subsequent amendments or modifications will be documented in writing and signed by authorized representatives of both parties.</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Licensing Agreement is entered into by and between TechSolutions Pvt. Ltd., a private limited company incorporated under the laws of India, having its registered office at 42 Innovation Park, Ambawadi, Ahmedabad, Gujarat, India (hereinafter referred to as the "Licensor"), and Turabit Technologies Private Limited, a private limited company incorporated under the laws of India, having its registered office at 12 Corporate Avenue, Prahlad Nagar, Ahmedabad, Gujarat, India (hereinafter referred to as the "Licensee"). Each party represents and warrants its authority to enter into this Agreement.</w:t>
      </w:r>
    </w:p>
    <w:p>
      <w:pPr>
        <w:spacing w:after="160"/>
      </w:pPr>
    </w:p>
    <w:p>
      <w:pPr>
        <w:spacing w:before="280" w:after="120"/>
      </w:pPr>
      <w:r>
        <w:rPr>
          <w:rFonts w:ascii="Arial" w:hAnsi="Arial"/>
          <w:b/>
          <w:color w:val="2E4057"/>
          <w:sz w:val="26"/>
        </w:rPr>
        <w:t>Definition of Licensed Intellectual Property</w:t>
      </w:r>
    </w:p>
    <w:p>
      <w:pPr>
        <w:spacing w:after="120"/>
      </w:pPr>
      <w:r>
        <w:rPr>
          <w:rFonts w:ascii="Arial" w:hAnsi="Arial"/>
          <w:b w:val="0"/>
          <w:color w:val="222222"/>
          <w:sz w:val="22"/>
        </w:rPr>
        <w:t>Licensed Intellectual Property includes the licensor’s software source code and compiled binaries, user manuals, documentation, proprietary algorithms, workflow automation tools, trademarks, logos, brand elements, and trade secrets related to system architecture, design patterns, and internal processes.</w:t>
      </w:r>
    </w:p>
    <w:p>
      <w:pPr>
        <w:spacing w:after="80"/>
      </w:pPr>
    </w:p>
    <w:p>
      <w:pPr>
        <w:spacing w:after="120"/>
      </w:pPr>
      <w:r>
        <w:rPr>
          <w:rFonts w:ascii="Arial" w:hAnsi="Arial"/>
          <w:b w:val="0"/>
          <w:color w:val="222222"/>
          <w:sz w:val="22"/>
        </w:rPr>
        <w:t>The license covers the current stable software release and all minor updates, bug fixes, and patches during the agreement term.</w:t>
      </w:r>
    </w:p>
    <w:p>
      <w:pPr>
        <w:spacing w:after="80"/>
      </w:pPr>
    </w:p>
    <w:p>
      <w:pPr>
        <w:spacing w:after="120"/>
      </w:pPr>
      <w:r>
        <w:rPr>
          <w:rFonts w:ascii="Arial" w:hAnsi="Arial"/>
          <w:b w:val="0"/>
          <w:color w:val="222222"/>
          <w:sz w:val="22"/>
        </w:rPr>
        <w:t>Excluded are major new versions, feature expansions after the effective date, beta or experimental releases, and any licensee-created modifications or derivative works without prior written approval from the licensor.</w:t>
      </w:r>
    </w:p>
    <w:p>
      <w:pPr>
        <w:spacing w:after="160"/>
      </w:pPr>
    </w:p>
    <w:p>
      <w:pPr>
        <w:spacing w:before="280" w:after="120"/>
      </w:pPr>
      <w:r>
        <w:rPr>
          <w:rFonts w:ascii="Arial" w:hAnsi="Arial"/>
          <w:b/>
          <w:color w:val="2E4057"/>
          <w:sz w:val="26"/>
        </w:rPr>
        <w:t>Grant of License</w:t>
      </w:r>
    </w:p>
    <w:p>
      <w:pPr>
        <w:spacing w:after="120"/>
      </w:pPr>
      <w:r>
        <w:rPr>
          <w:rFonts w:ascii="Arial" w:hAnsi="Arial"/>
          <w:b w:val="0"/>
          <w:color w:val="222222"/>
          <w:sz w:val="22"/>
        </w:rPr>
        <w:t>Licensor hereby grants Licensee a non-exclusive, non-transferable license to install, access, and use the licensed software and associated intellectual property within India solely for internal business purposes. The license commences on the effective date and continues for three (3) years unless terminated earlier in accordance with this agreement.</w:t>
      </w:r>
    </w:p>
    <w:p>
      <w:pPr>
        <w:spacing w:after="80"/>
      </w:pPr>
    </w:p>
    <w:p>
      <w:pPr>
        <w:spacing w:after="120"/>
      </w:pPr>
      <w:r>
        <w:rPr>
          <w:rFonts w:ascii="Arial" w:hAnsi="Arial"/>
          <w:b w:val="0"/>
          <w:color w:val="222222"/>
          <w:sz w:val="22"/>
        </w:rPr>
        <w:t>Licensee shall not copy, modify, reverse engineer, distribute, sublicense, or transfer the software without Licensor’s prior written consent. Licensee must comply with all applicable laws and is responsible for maintaining the confidentiality of access credentials and proprietary information related to the licensed software.</w:t>
      </w:r>
    </w:p>
    <w:p>
      <w:pPr>
        <w:spacing w:after="160"/>
      </w:pPr>
    </w:p>
    <w:p>
      <w:pPr>
        <w:spacing w:before="280" w:after="120"/>
      </w:pPr>
      <w:r>
        <w:rPr>
          <w:rFonts w:ascii="Arial" w:hAnsi="Arial"/>
          <w:b/>
          <w:color w:val="2E4057"/>
          <w:sz w:val="26"/>
        </w:rPr>
        <w:t>Scope and Limitations of License</w:t>
      </w:r>
    </w:p>
    <w:p>
      <w:pPr>
        <w:spacing w:after="120"/>
      </w:pPr>
      <w:r>
        <w:rPr>
          <w:rFonts w:ascii="Arial" w:hAnsi="Arial"/>
          <w:b w:val="0"/>
          <w:color w:val="222222"/>
          <w:sz w:val="22"/>
        </w:rPr>
        <w:t>The license permits the licensee to access, install, and use the software and related intellectual property solely for internal business operations within India. The licensee shall not copy, distribute, sell, sublicense, reverse engineer, decompile, or create derivative works without prior written consent. Use for illegal activities or violation of laws is prohibited. The software is limited to enterprise commercial use and excludes resale or public distribution. The license term is three years, renewable by mutual agreement. Termination requires cessation of use, return, or secure destruction of software and compliance with post-termination obligations. Industry-specific restrictions may apply.</w:t>
      </w:r>
    </w:p>
    <w:p>
      <w:pPr>
        <w:spacing w:after="160"/>
      </w:pPr>
    </w:p>
    <w:p>
      <w:pPr>
        <w:spacing w:before="280" w:after="120"/>
      </w:pPr>
      <w:r>
        <w:rPr>
          <w:rFonts w:ascii="Arial" w:hAnsi="Arial"/>
          <w:b/>
          <w:color w:val="2E4057"/>
          <w:sz w:val="26"/>
        </w:rPr>
        <w:t>License Fees and Payment Terms</w:t>
      </w:r>
    </w:p>
    <w:p>
      <w:pPr>
        <w:spacing w:after="120"/>
      </w:pPr>
      <w:r>
        <w:rPr>
          <w:rFonts w:ascii="Arial" w:hAnsi="Arial"/>
          <w:b w:val="0"/>
          <w:color w:val="222222"/>
          <w:sz w:val="22"/>
        </w:rPr>
        <w:t>License fees consist of an initial one-time fee of USD 5,000, a monthly subscription fee of USD 750, a usage-based fee of USD 0.08 per transaction billed monthly, and an annual renewal fee of USD 8,000. Accepted payment methods include bank wire transfer, ACH transfer, corporate credit card, and the company’s online payment portal. Payments overdue by 15 days incur a 2% penalty plus 1.5% monthly interest. Fees may increase up to 5% annually, with 60 days’ prior written notice. Non-payment beyond 45 days may suspend license access. Adjustments may reflect usage or regulatory requirements.</w:t>
      </w:r>
    </w:p>
    <w:p>
      <w:pPr>
        <w:spacing w:after="160"/>
      </w:pPr>
    </w:p>
    <w:p>
      <w:pPr>
        <w:spacing w:before="280" w:after="120"/>
      </w:pPr>
      <w:r>
        <w:rPr>
          <w:rFonts w:ascii="Arial" w:hAnsi="Arial"/>
          <w:b/>
          <w:color w:val="2E4057"/>
          <w:sz w:val="26"/>
        </w:rPr>
        <w:t>Ownership of Intellectual Property</w:t>
      </w:r>
    </w:p>
    <w:p>
      <w:pPr>
        <w:spacing w:after="120"/>
      </w:pPr>
      <w:r>
        <w:rPr>
          <w:rFonts w:ascii="Arial" w:hAnsi="Arial"/>
          <w:b w:val="0"/>
          <w:color w:val="222222"/>
          <w:sz w:val="22"/>
        </w:rPr>
        <w:t>All intellectual property created, developed, or derived during the term of this Licensing Agreement, including but not limited to software code, documentation, enhancements, modifications, and related materials, shall remain the exclusive property of the Licensor. The Licensee acknowledges and agrees that no ownership rights are transferred under this Agreement. The Licensee is granted only the rights expressly defined herein to use the intellectual property solely for the permitted purposes and duration. Any unauthorized use, reproduction, or distribution of the intellectual property is strictly prohibited and may result in termination of this Agreement and legal action.</w:t>
      </w:r>
    </w:p>
    <w:p>
      <w:pPr>
        <w:spacing w:after="160"/>
      </w:pPr>
    </w:p>
    <w:p>
      <w:pPr>
        <w:spacing w:before="280" w:after="120"/>
      </w:pPr>
      <w:r>
        <w:rPr>
          <w:rFonts w:ascii="Arial" w:hAnsi="Arial"/>
          <w:b/>
          <w:color w:val="2E4057"/>
          <w:sz w:val="26"/>
        </w:rPr>
        <w:t>Confidentiality Obligations</w:t>
      </w:r>
    </w:p>
    <w:p>
      <w:pPr>
        <w:spacing w:after="120"/>
      </w:pPr>
      <w:r>
        <w:rPr>
          <w:rFonts w:ascii="Arial" w:hAnsi="Arial"/>
          <w:b w:val="0"/>
          <w:color w:val="222222"/>
          <w:sz w:val="22"/>
        </w:rPr>
        <w:t>Each party shall protect all confidential information disclosed under this Agreement, including but not limited to technical data, software, business strategies, pricing, customer information, and any proprietary materials. Confidentiality obligations shall continue for a period of three (3) years following termination or expiration of this Agreement. Disclosure of confidential information is permitted only to employees or agents with a strict need to know, provided they are bound by confidentiality obligations no less restrictive than those herein. Disclosure required by law or court order is allowed, subject to prior written notice to the disclosing party where legally permissible.</w:t>
      </w:r>
    </w:p>
    <w:p>
      <w:pPr>
        <w:spacing w:after="160"/>
      </w:pPr>
    </w:p>
    <w:p>
      <w:pPr>
        <w:spacing w:before="280" w:after="120"/>
      </w:pPr>
      <w:r>
        <w:rPr>
          <w:rFonts w:ascii="Arial" w:hAnsi="Arial"/>
          <w:b/>
          <w:color w:val="2E4057"/>
          <w:sz w:val="26"/>
        </w:rPr>
        <w:t>Termination of License</w:t>
      </w:r>
    </w:p>
    <w:p>
      <w:pPr>
        <w:spacing w:after="120"/>
      </w:pPr>
      <w:r>
        <w:rPr>
          <w:rFonts w:ascii="Arial" w:hAnsi="Arial"/>
          <w:b w:val="0"/>
          <w:color w:val="222222"/>
          <w:sz w:val="22"/>
        </w:rPr>
        <w:t>Either party may terminate the license upon material breach by the other party, provided the breaching party fails to cure such breach within thirty (30) days after receipt of written notice. Additionally, turabit reserves the right to terminate the license immediately if the licensee engages in unauthorized use or violates any applicable laws.</w:t>
      </w:r>
    </w:p>
    <w:p>
      <w:pPr>
        <w:spacing w:after="80"/>
      </w:pPr>
    </w:p>
    <w:p>
      <w:pPr>
        <w:spacing w:after="120"/>
      </w:pPr>
      <w:r>
        <w:rPr>
          <w:rFonts w:ascii="Arial" w:hAnsi="Arial"/>
          <w:b w:val="0"/>
          <w:color w:val="222222"/>
          <w:sz w:val="22"/>
        </w:rPr>
        <w:t>Termination shall require a minimum thirty (30) days prior written notice by either party without cause. Upon termination, the licensee must cease all use of the licensed software and return or destroy all confidential information as directed by turabit.</w:t>
      </w:r>
    </w:p>
    <w:p>
      <w:pPr>
        <w:spacing w:after="160"/>
      </w:pPr>
    </w:p>
    <w:p>
      <w:pPr>
        <w:spacing w:before="280" w:after="120"/>
      </w:pPr>
      <w:r>
        <w:rPr>
          <w:rFonts w:ascii="Arial" w:hAnsi="Arial"/>
          <w:b/>
          <w:color w:val="2E4057"/>
          <w:sz w:val="26"/>
        </w:rPr>
        <w:t>Liability and Indemnification</w:t>
      </w:r>
    </w:p>
    <w:p>
      <w:pPr>
        <w:spacing w:after="120"/>
      </w:pPr>
      <w:r>
        <w:rPr>
          <w:rFonts w:ascii="Arial" w:hAnsi="Arial"/>
          <w:b w:val="0"/>
          <w:color w:val="222222"/>
          <w:sz w:val="22"/>
        </w:rPr>
        <w:t>turabit shall not be liable for any indirect, incidental, consequential, or punitive damages arising from the use or inability to use the licensed software. turabit’s total liability under this Agreement shall not exceed the fees paid by the licensee in the twelve months preceding the claim.</w:t>
      </w:r>
    </w:p>
    <w:p>
      <w:pPr>
        <w:spacing w:after="80"/>
      </w:pPr>
    </w:p>
    <w:p>
      <w:pPr>
        <w:spacing w:after="120"/>
      </w:pPr>
      <w:r>
        <w:rPr>
          <w:rFonts w:ascii="Arial" w:hAnsi="Arial"/>
          <w:b w:val="0"/>
          <w:color w:val="222222"/>
          <w:sz w:val="22"/>
        </w:rPr>
        <w:t>The licensee agrees to indemnify, defend, and hold harmless turabit and its affiliates from any third-party claims arising out of the licensee’s misuse of the software or violation of this Agreement. turabit will indemnify the licensee against claims of intellectual property infringement to the extent permitted by applicable law.</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This Licensing Agreement shall be governed by and construed in accordance with the laws of the jurisdiction mutually agreed upon by the parties prior to execution. In the absence of such agreement, the laws of the Republic of India shall apply, excluding its conflict of law principles. The parties hereby consent to the exclusive jurisdiction and venue of the courts located within the agreed jurisdiction for any disputes arising out of or relating to this Agreement. Each party waives any objection to jurisdiction or venue based on convenience or forum non conveniens.</w:t>
      </w:r>
    </w:p>
    <w:p>
      <w:pPr>
        <w:spacing w:after="160"/>
      </w:pPr>
    </w:p>
    <w:p>
      <w:pPr>
        <w:spacing w:before="280" w:after="120"/>
      </w:pPr>
      <w:r>
        <w:rPr>
          <w:rFonts w:ascii="Arial" w:hAnsi="Arial"/>
          <w:b/>
          <w:color w:val="2E4057"/>
          <w:sz w:val="26"/>
        </w:rPr>
        <w:t>Signatures of Parties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General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Head of Legal Operations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Licensing Compliance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Licensing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Licensing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