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Non-Disclosure Agreement (NDA)</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Agreement Title and Document Information</w:t>
      </w:r>
    </w:p>
    <w:p>
      <w:pPr>
        <w:spacing w:after="120"/>
      </w:pPr>
      <w:r>
        <w:rPr>
          <w:rFonts w:ascii="Arial" w:hAnsi="Arial"/>
          <w:b w:val="0"/>
          <w:color w:val="222222"/>
          <w:sz w:val="22"/>
        </w:rPr>
        <w:t>The official title of this document is Mutual Non-Disclosure Agreement (NDA), established to protect confidential information shared between parties. This Agreement is entered into by and between the parties effective as of 01 April 2026. It governs the terms and conditions under which proprietary and sensitive information will be disclosed, ensuring confidentiality and legal protection.</w:t>
      </w:r>
    </w:p>
    <w:p>
      <w:pPr>
        <w:spacing w:after="80"/>
      </w:pPr>
    </w:p>
    <w:p>
      <w:pPr>
        <w:spacing w:after="120"/>
      </w:pPr>
      <w:r>
        <w:rPr>
          <w:rFonts w:ascii="Arial" w:hAnsi="Arial"/>
          <w:b w:val="0"/>
          <w:color w:val="222222"/>
          <w:sz w:val="22"/>
        </w:rPr>
        <w:t>The parties agree to adhere to all obligations stated herein, applicable within the Technology and SaaS industry, specifically under the jurisdiction of India. The Legal Department of turabit is responsible for overseeing compliance and enforcement of this Agreement throughout its duration.</w:t>
      </w:r>
    </w:p>
    <w:p>
      <w:pPr>
        <w:spacing w:after="160"/>
      </w:pPr>
    </w:p>
    <w:p>
      <w:pPr>
        <w:spacing w:before="280" w:after="120"/>
      </w:pPr>
      <w:r>
        <w:rPr>
          <w:rFonts w:ascii="Arial" w:hAnsi="Arial"/>
          <w:b/>
          <w:color w:val="2E4057"/>
          <w:sz w:val="26"/>
        </w:rPr>
        <w:t>Parties to the Agreement</w:t>
      </w:r>
    </w:p>
    <w:p>
      <w:pPr>
        <w:spacing w:after="120"/>
      </w:pPr>
      <w:r>
        <w:rPr>
          <w:rFonts w:ascii="Arial" w:hAnsi="Arial"/>
          <w:b w:val="0"/>
          <w:color w:val="222222"/>
          <w:sz w:val="22"/>
        </w:rPr>
        <w:t>This Non-Disclosure Agreement is entered into between Turabit Technologies Private Limited, a company incorporated under Indian law, having its registered address at 402, Corporate Plaza, Satellite Road, Ahmedabad, Gujarat 380015, India ("Party 1"), and Confidential Partner Organization, located at 1200 Innovation Drive, Suite 450, San Jose, California 95134, United States ("Party 2"). Each party shall be represented by an authorized individual, such as the Chief Executive Officer, Director, Legal Counsel, or Compliance Officer, who possesses the legal authority to execute this Agreement on behalf of their respective organization. Both parties agree to be bound by the terms herein.</w:t>
      </w:r>
    </w:p>
    <w:p>
      <w:pPr>
        <w:spacing w:after="160"/>
      </w:pPr>
    </w:p>
    <w:p>
      <w:pPr>
        <w:spacing w:before="280" w:after="120"/>
      </w:pPr>
      <w:r>
        <w:rPr>
          <w:rFonts w:ascii="Arial" w:hAnsi="Arial"/>
          <w:b/>
          <w:color w:val="2E4057"/>
          <w:sz w:val="26"/>
        </w:rPr>
        <w:t>Purpose of Disclosure</w:t>
      </w:r>
    </w:p>
    <w:p>
      <w:pPr>
        <w:spacing w:after="120"/>
      </w:pPr>
      <w:r>
        <w:rPr>
          <w:rFonts w:ascii="Arial" w:hAnsi="Arial"/>
          <w:b w:val="0"/>
          <w:color w:val="222222"/>
          <w:sz w:val="22"/>
        </w:rPr>
        <w:t>The purpose of disclosure under this Agreement is to facilitate the evaluation and support of a potential business collaboration between the parties. Such collaboration pertains specifically to technology development, platform integration, and strategic partnership opportunities involving Turabit’s Software-as-a-Service (SaaS) solutions. Confidential information disclosed will enable informed decision-making, due diligence, and joint planning necessary to explore and potentially formalize the business relationship. Both parties acknowledge the sensitivity of the information shared and agree to maintain strict confidentiality to protect proprietary data, trade secrets, and intellectual property integral to Turabit’s technology platform and ongoing business operations.</w:t>
      </w:r>
    </w:p>
    <w:p>
      <w:pPr>
        <w:spacing w:after="160"/>
      </w:pPr>
    </w:p>
    <w:p>
      <w:pPr>
        <w:spacing w:before="280" w:after="120"/>
      </w:pPr>
      <w:r>
        <w:rPr>
          <w:rFonts w:ascii="Arial" w:hAnsi="Arial"/>
          <w:b/>
          <w:color w:val="2E4057"/>
          <w:sz w:val="26"/>
        </w:rPr>
        <w:t>Definition of Confidential Information</w:t>
      </w:r>
    </w:p>
    <w:p>
      <w:pPr>
        <w:spacing w:after="120"/>
      </w:pPr>
      <w:r>
        <w:rPr>
          <w:rFonts w:ascii="Arial" w:hAnsi="Arial"/>
          <w:b w:val="0"/>
          <w:color w:val="222222"/>
          <w:sz w:val="22"/>
        </w:rPr>
        <w:t>Confidential Information includes, but is not limited to: 1. Proprietary software source code, algorithms, and system architecture; 2. Product roadmaps, technical documentation, and development plans; 3. Business strategies, operational procedures, and internal policies; 4. Customer information, usage analytics, and account records; 5. Financial data including pricing models, budgets, and revenue projections; 6. Trade secrets and intellectual property related to turabit’s technology platform.</w:t>
      </w:r>
    </w:p>
    <w:p>
      <w:pPr>
        <w:spacing w:after="80"/>
      </w:pPr>
    </w:p>
    <w:p>
      <w:pPr>
        <w:spacing w:after="120"/>
      </w:pPr>
      <w:r>
        <w:rPr>
          <w:rFonts w:ascii="Arial" w:hAnsi="Arial"/>
          <w:b w:val="0"/>
          <w:color w:val="222222"/>
          <w:sz w:val="22"/>
        </w:rPr>
        <w:t>Confidential Information must be clearly marked as “Confidential” or “Proprietary” or confirmed in writing if disclosed verbally. Exclusions apply to publicly available information, prior knowledge, independently developed data, or information lawfully received from third parties without restriction.</w:t>
      </w:r>
    </w:p>
    <w:p>
      <w:pPr>
        <w:spacing w:after="160"/>
      </w:pPr>
    </w:p>
    <w:p>
      <w:pPr>
        <w:spacing w:before="280" w:after="120"/>
      </w:pPr>
      <w:r>
        <w:rPr>
          <w:rFonts w:ascii="Arial" w:hAnsi="Arial"/>
          <w:b/>
          <w:color w:val="2E4057"/>
          <w:sz w:val="26"/>
        </w:rPr>
        <w:t>Obligations of the Receiving Party</w:t>
      </w:r>
    </w:p>
    <w:p>
      <w:pPr>
        <w:spacing w:after="120"/>
      </w:pPr>
      <w:r>
        <w:rPr>
          <w:rFonts w:ascii="Arial" w:hAnsi="Arial"/>
          <w:b w:val="0"/>
          <w:color w:val="222222"/>
          <w:sz w:val="22"/>
        </w:rPr>
        <w:t>The Receiving Party shall maintain the confidentiality of all disclosed information using safeguards equivalent to those protecting its own confidential data. Access shall be limited to authorized employees, contractors, or advisors requiring information solely for the agreed business purpose and bound by confidentiality obligations. Disclosure, reproduction, distribution, or use of confidential information beyond the permitted purpose is prohibited.</w:t>
      </w:r>
    </w:p>
    <w:p>
      <w:pPr>
        <w:spacing w:after="80"/>
      </w:pPr>
    </w:p>
    <w:p>
      <w:pPr>
        <w:spacing w:after="120"/>
      </w:pPr>
      <w:r>
        <w:rPr>
          <w:rFonts w:ascii="Arial" w:hAnsi="Arial"/>
          <w:b w:val="0"/>
          <w:color w:val="222222"/>
          <w:sz w:val="22"/>
        </w:rPr>
        <w:t>Permitted disclosures include those required by law, regulation, or court order, with prompt notification to the Disclosing Party when legally allowed, and disclosures to affiliates or advisors under equivalent confidentiality terms.</w:t>
      </w:r>
    </w:p>
    <w:p>
      <w:pPr>
        <w:spacing w:after="80"/>
      </w:pPr>
    </w:p>
    <w:p>
      <w:pPr>
        <w:spacing w:after="120"/>
      </w:pPr>
      <w:r>
        <w:rPr>
          <w:rFonts w:ascii="Arial" w:hAnsi="Arial"/>
          <w:b w:val="0"/>
          <w:color w:val="222222"/>
          <w:sz w:val="22"/>
        </w:rPr>
        <w:t>Breaches may result in injunctive relief, damages, termination of agreements, and return or destruction of confidential materials.</w:t>
      </w:r>
    </w:p>
    <w:p>
      <w:pPr>
        <w:spacing w:after="160"/>
      </w:pPr>
    </w:p>
    <w:p>
      <w:pPr>
        <w:spacing w:before="280" w:after="120"/>
      </w:pPr>
      <w:r>
        <w:rPr>
          <w:rFonts w:ascii="Arial" w:hAnsi="Arial"/>
          <w:b/>
          <w:color w:val="2E4057"/>
          <w:sz w:val="26"/>
        </w:rPr>
        <w:t>Permitted Use of Information</w:t>
      </w:r>
    </w:p>
    <w:p>
      <w:pPr>
        <w:spacing w:after="120"/>
      </w:pPr>
      <w:r>
        <w:rPr>
          <w:rFonts w:ascii="Arial" w:hAnsi="Arial"/>
          <w:b w:val="0"/>
          <w:color w:val="222222"/>
          <w:sz w:val="22"/>
        </w:rPr>
        <w:t>The receiving party may use the confidential information solely for the following authorized purposes: 1. Evaluation of potential business collaboration or strategic partnership opportunities. 2. Technical assessment for system integration, product development, or platform compatibility. 3. Internal analysis related to operational planning, project feasibility, or service implementation. 4. Preparation of proposals, technical documentation, or implementation strategies directly related to the agreed business purpose.</w:t>
      </w:r>
    </w:p>
    <w:p>
      <w:pPr>
        <w:spacing w:after="80"/>
      </w:pPr>
    </w:p>
    <w:p>
      <w:pPr>
        <w:spacing w:after="120"/>
      </w:pPr>
      <w:r>
        <w:rPr>
          <w:rFonts w:ascii="Arial" w:hAnsi="Arial"/>
          <w:b w:val="0"/>
          <w:color w:val="222222"/>
          <w:sz w:val="22"/>
        </w:rPr>
        <w:t>Use of the confidential information beyond these purposes is strictly prohibited. The receiving party shall not disclose, reproduce, reverse engineer, or exploit the information for competitive advantage, personal gain, or unauthorized distribution.</w:t>
      </w:r>
    </w:p>
    <w:p>
      <w:pPr>
        <w:spacing w:after="160"/>
      </w:pPr>
    </w:p>
    <w:p>
      <w:pPr>
        <w:spacing w:before="280" w:after="120"/>
      </w:pPr>
      <w:r>
        <w:rPr>
          <w:rFonts w:ascii="Arial" w:hAnsi="Arial"/>
          <w:b/>
          <w:color w:val="2E4057"/>
          <w:sz w:val="26"/>
        </w:rPr>
        <w:t>Exclusions from Confidentiality</w:t>
      </w:r>
    </w:p>
    <w:p>
      <w:pPr>
        <w:spacing w:after="120"/>
      </w:pPr>
      <w:r>
        <w:rPr>
          <w:rFonts w:ascii="Arial" w:hAnsi="Arial"/>
          <w:b w:val="0"/>
          <w:color w:val="222222"/>
          <w:sz w:val="22"/>
        </w:rPr>
        <w:t>Confidential information does not include information that:</w:t>
      </w:r>
    </w:p>
    <w:p>
      <w:pPr>
        <w:spacing w:after="80"/>
      </w:pPr>
    </w:p>
    <w:p>
      <w:pPr>
        <w:spacing w:after="80"/>
        <w:ind w:left="360"/>
      </w:pPr>
      <w:r>
        <w:rPr>
          <w:rFonts w:ascii="Arial" w:hAnsi="Arial"/>
          <w:b w:val="0"/>
          <w:color w:val="222222"/>
          <w:sz w:val="22"/>
        </w:rPr>
        <w:t>1. Is publicly available or becomes publicly available without breach of this Agreement.</w:t>
      </w:r>
    </w:p>
    <w:p>
      <w:pPr>
        <w:spacing w:after="80"/>
      </w:pPr>
    </w:p>
    <w:p>
      <w:pPr>
        <w:spacing w:after="80"/>
        <w:ind w:left="360"/>
      </w:pPr>
      <w:r>
        <w:rPr>
          <w:rFonts w:ascii="Arial" w:hAnsi="Arial"/>
          <w:b w:val="0"/>
          <w:color w:val="222222"/>
          <w:sz w:val="22"/>
        </w:rPr>
        <w:t>2. Was already known to the Receiving Party prior to disclosure, as documented.</w:t>
      </w:r>
    </w:p>
    <w:p>
      <w:pPr>
        <w:spacing w:after="80"/>
      </w:pPr>
    </w:p>
    <w:p>
      <w:pPr>
        <w:spacing w:after="80"/>
        <w:ind w:left="360"/>
      </w:pPr>
      <w:r>
        <w:rPr>
          <w:rFonts w:ascii="Arial" w:hAnsi="Arial"/>
          <w:b w:val="0"/>
          <w:color w:val="222222"/>
          <w:sz w:val="22"/>
        </w:rPr>
        <w:t>3. Is independently developed by the Receiving Party without reference to the disclosed information.</w:t>
      </w:r>
    </w:p>
    <w:p>
      <w:pPr>
        <w:spacing w:after="80"/>
      </w:pPr>
    </w:p>
    <w:p>
      <w:pPr>
        <w:spacing w:after="80"/>
        <w:ind w:left="360"/>
      </w:pPr>
      <w:r>
        <w:rPr>
          <w:rFonts w:ascii="Arial" w:hAnsi="Arial"/>
          <w:b w:val="0"/>
          <w:color w:val="222222"/>
          <w:sz w:val="22"/>
        </w:rPr>
        <w:t>4. Is lawfully obtained from a third party not subject to confidentiality obligations.</w:t>
      </w:r>
    </w:p>
    <w:p>
      <w:pPr>
        <w:spacing w:after="80"/>
      </w:pPr>
    </w:p>
    <w:p>
      <w:pPr>
        <w:spacing w:after="120"/>
      </w:pPr>
      <w:r>
        <w:rPr>
          <w:rFonts w:ascii="Arial" w:hAnsi="Arial"/>
          <w:b w:val="0"/>
          <w:color w:val="222222"/>
          <w:sz w:val="22"/>
        </w:rPr>
        <w:t>Additionally, disclosure required by law, regulation, or court order is permitted, provided that the Receiving Party gives prompt written notice to the Disclosing Party to allow for protective measures, unless prohibited by law.</w:t>
      </w:r>
    </w:p>
    <w:p>
      <w:pPr>
        <w:spacing w:after="160"/>
      </w:pPr>
    </w:p>
    <w:p>
      <w:pPr>
        <w:spacing w:before="280" w:after="120"/>
      </w:pPr>
      <w:r>
        <w:rPr>
          <w:rFonts w:ascii="Arial" w:hAnsi="Arial"/>
          <w:b/>
          <w:color w:val="2E4057"/>
          <w:sz w:val="26"/>
        </w:rPr>
        <w:t>Confidentiality Period</w:t>
      </w:r>
    </w:p>
    <w:p>
      <w:pPr>
        <w:spacing w:after="120"/>
      </w:pPr>
      <w:r>
        <w:rPr>
          <w:rFonts w:ascii="Arial" w:hAnsi="Arial"/>
          <w:b w:val="0"/>
          <w:color w:val="222222"/>
          <w:sz w:val="22"/>
        </w:rPr>
        <w:t>The confidentiality obligations set forth herein shall remain in effect for a period of three (3) years following the termination or expiration of this Agreement, unless otherwise agreed in writing by the Parties. Notwithstanding the foregoing, any Confidential Information constituting trade secrets shall be subject to confidentiality obligations for as long as such information retains its status as a trade secret under applicable law. The duration of confidentiality shall apply uniformly to all categories of Confidential Information and recipients unless specifically stated otherwise in this Agreement or mutually agreed upon in writing by the Parties.</w:t>
      </w:r>
    </w:p>
    <w:p>
      <w:pPr>
        <w:spacing w:after="160"/>
      </w:pPr>
    </w:p>
    <w:p>
      <w:pPr>
        <w:spacing w:before="280" w:after="120"/>
      </w:pPr>
      <w:r>
        <w:rPr>
          <w:rFonts w:ascii="Arial" w:hAnsi="Arial"/>
          <w:b/>
          <w:color w:val="2E4057"/>
          <w:sz w:val="26"/>
        </w:rPr>
        <w:t>Return or Destruction of Confidential Information</w:t>
      </w:r>
    </w:p>
    <w:p>
      <w:pPr>
        <w:spacing w:after="120"/>
      </w:pPr>
      <w:r>
        <w:rPr>
          <w:rFonts w:ascii="Arial" w:hAnsi="Arial"/>
          <w:b w:val="0"/>
          <w:color w:val="222222"/>
          <w:sz w:val="22"/>
        </w:rPr>
        <w:t>Upon termination or expiration of this Agreement, the Receiving Party shall return or destroy all Confidential Information received from turabit within thirty (30) days, or as otherwise agreed in writing. Return or destruction shall include all copies, summaries, or derivatives in any form.</w:t>
      </w:r>
    </w:p>
    <w:p>
      <w:pPr>
        <w:spacing w:after="80"/>
      </w:pPr>
    </w:p>
    <w:p>
      <w:pPr>
        <w:spacing w:after="120"/>
      </w:pPr>
      <w:r>
        <w:rPr>
          <w:rFonts w:ascii="Arial" w:hAnsi="Arial"/>
          <w:b w:val="0"/>
          <w:color w:val="222222"/>
          <w:sz w:val="22"/>
        </w:rPr>
        <w:t>If destruction is chosen, it must be performed using industry-standard methods ensuring complete and irreversible deletion for electronic data, and certified destruction for physical materials. The Receiving Party shall provide a written certification of such destruction upon turabit’s request. Retention of Confidential Information beyond this period requires prior written consent from turabit’s Legal Department.</w:t>
      </w:r>
    </w:p>
    <w:p>
      <w:pPr>
        <w:spacing w:after="160"/>
      </w:pPr>
    </w:p>
    <w:p>
      <w:pPr>
        <w:spacing w:before="280" w:after="120"/>
      </w:pPr>
      <w:r>
        <w:rPr>
          <w:rFonts w:ascii="Arial" w:hAnsi="Arial"/>
          <w:b/>
          <w:color w:val="2E4057"/>
          <w:sz w:val="26"/>
        </w:rPr>
        <w:t>Legal Remedies for Breach</w:t>
      </w:r>
    </w:p>
    <w:p>
      <w:pPr>
        <w:spacing w:after="120"/>
      </w:pPr>
      <w:r>
        <w:rPr>
          <w:rFonts w:ascii="Arial" w:hAnsi="Arial"/>
          <w:b w:val="0"/>
          <w:color w:val="222222"/>
          <w:sz w:val="22"/>
        </w:rPr>
        <w:t>In the event of a breach of this Agreement, turabit shall be entitled to seek all available legal remedies, including but not limited to injunctive relief, specific performance, and monetary damages. The breaching party shall indemnify turabit for any losses or damages incurred due to such breach. Both parties agree that monetary damages may be insufficient to compensate turabit for unauthorized disclosure or use of confidential information. Any dispute arising out of or relating to this Agreement shall be governed by the laws of India and resolved exclusively in the courts located within the jurisdiction of turabit’s principal place of business.</w:t>
      </w:r>
    </w:p>
    <w:p>
      <w:pPr>
        <w:spacing w:after="160"/>
      </w:pPr>
    </w:p>
    <w:p>
      <w:pPr>
        <w:spacing w:before="280" w:after="120"/>
      </w:pPr>
      <w:r>
        <w:rPr>
          <w:rFonts w:ascii="Arial" w:hAnsi="Arial"/>
          <w:b/>
          <w:color w:val="2E4057"/>
          <w:sz w:val="26"/>
        </w:rPr>
        <w:t>Governing Law and Jurisdiction</w:t>
      </w:r>
    </w:p>
    <w:p>
      <w:pPr>
        <w:spacing w:after="120"/>
      </w:pPr>
      <w:r>
        <w:rPr>
          <w:rFonts w:ascii="Arial" w:hAnsi="Arial"/>
          <w:b w:val="0"/>
          <w:color w:val="222222"/>
          <w:sz w:val="22"/>
        </w:rPr>
        <w:t>This Agreement shall be governed by and construed in accordance with the laws of the Republic of India, without regard to its conflict of law principles. Any disputes, controversies, or claims arising out of or relating to this Agreement, including its validity, breach, or termination, shall be subject to the exclusive jurisdiction of the courts located in Bengaluru, Karnataka. Both parties hereby irrevocably consent to the personal jurisdiction and venue of such courts and waive any objections based on inconvenient forum or lack of jurisdiction. This choice of governing law and jurisdiction shall survive termination or expiration of this Agreement.</w:t>
      </w:r>
    </w:p>
    <w:p>
      <w:pPr>
        <w:spacing w:after="160"/>
      </w:pPr>
    </w:p>
    <w:p>
      <w:pPr>
        <w:spacing w:before="280" w:after="120"/>
      </w:pPr>
      <w:r>
        <w:rPr>
          <w:rFonts w:ascii="Arial" w:hAnsi="Arial"/>
          <w:b/>
          <w:color w:val="2E4057"/>
          <w:sz w:val="26"/>
        </w:rPr>
        <w:t>Signatures of the Parties</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Data Protection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Non-Disclosure Agreement (NDA)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Non-Disclosure Agreement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