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Partnership Agreement</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Agreement Title and Date</w:t>
      </w:r>
    </w:p>
    <w:p>
      <w:pPr>
        <w:spacing w:after="120"/>
      </w:pPr>
      <w:r>
        <w:rPr>
          <w:rFonts w:ascii="Arial" w:hAnsi="Arial"/>
          <w:b w:val="0"/>
          <w:color w:val="222222"/>
          <w:sz w:val="22"/>
        </w:rPr>
        <w:t>The agreement shall be formally titled the "Strategic Business Partnership Agreement." This title reflects the mutual intent of the parties to engage in a collaborative business relationship that leverages each party’s strengths within the technology and Software as a Service (SaaS) industry.</w:t>
      </w:r>
    </w:p>
    <w:p>
      <w:pPr>
        <w:spacing w:after="80"/>
      </w:pPr>
    </w:p>
    <w:p>
      <w:pPr>
        <w:spacing w:after="120"/>
      </w:pPr>
      <w:r>
        <w:rPr>
          <w:rFonts w:ascii="Arial" w:hAnsi="Arial"/>
          <w:b w:val="0"/>
          <w:color w:val="222222"/>
          <w:sz w:val="22"/>
        </w:rPr>
        <w:t>The effective date of this Agreement is established as 01 April 2026. This date marks the commencement of all rights, obligations, and responsibilities as set forth herein. Both parties acknowledge and agree that the terms and conditions outlined shall be binding from this effective date forward unless otherwise amended in writing and duly signed by authorized representatives of both parties.</w:t>
      </w:r>
    </w:p>
    <w:p>
      <w:pPr>
        <w:spacing w:after="80"/>
      </w:pPr>
    </w:p>
    <w:p>
      <w:pPr>
        <w:spacing w:after="120"/>
      </w:pPr>
      <w:r>
        <w:rPr>
          <w:rFonts w:ascii="Arial" w:hAnsi="Arial"/>
          <w:b w:val="0"/>
          <w:color w:val="222222"/>
          <w:sz w:val="22"/>
        </w:rPr>
        <w:t>The Strategic Business Partnership Agreement and its effective date are critical components that define the legal framework governing the partnership between the parties involved.</w:t>
      </w:r>
    </w:p>
    <w:p>
      <w:pPr>
        <w:spacing w:after="160"/>
      </w:pPr>
    </w:p>
    <w:p>
      <w:pPr>
        <w:spacing w:before="280" w:after="120"/>
      </w:pPr>
      <w:r>
        <w:rPr>
          <w:rFonts w:ascii="Arial" w:hAnsi="Arial"/>
          <w:b/>
          <w:color w:val="2E4057"/>
          <w:sz w:val="26"/>
        </w:rPr>
        <w:t>Partners Identification</w:t>
      </w:r>
    </w:p>
    <w:p>
      <w:pPr>
        <w:spacing w:after="120"/>
      </w:pPr>
      <w:r>
        <w:rPr>
          <w:rFonts w:ascii="Arial" w:hAnsi="Arial"/>
          <w:b w:val="0"/>
          <w:color w:val="222222"/>
          <w:sz w:val="22"/>
        </w:rPr>
        <w:t>The partners identified in this agreement are as follows:</w:t>
      </w:r>
    </w:p>
    <w:p>
      <w:pPr>
        <w:spacing w:after="80"/>
      </w:pPr>
    </w:p>
    <w:p>
      <w:pPr>
        <w:spacing w:after="80"/>
        <w:ind w:left="360"/>
      </w:pPr>
      <w:r>
        <w:rPr>
          <w:rFonts w:ascii="Arial" w:hAnsi="Arial"/>
          <w:b w:val="0"/>
          <w:color w:val="222222"/>
          <w:sz w:val="22"/>
        </w:rPr>
        <w:t>1. Arjun Mehta, residing at 24 Ashok Residency, Satellite Road, Ahmedabad, Gujarat, India, holding a 40% ownership interest with a capital contribution of INR 4,000,000.</w:t>
      </w:r>
    </w:p>
    <w:p>
      <w:pPr>
        <w:spacing w:after="80"/>
      </w:pPr>
    </w:p>
    <w:p>
      <w:pPr>
        <w:spacing w:after="80"/>
        <w:ind w:left="360"/>
      </w:pPr>
      <w:r>
        <w:rPr>
          <w:rFonts w:ascii="Arial" w:hAnsi="Arial"/>
          <w:b w:val="0"/>
          <w:color w:val="222222"/>
          <w:sz w:val="22"/>
        </w:rPr>
        <w:t>2. Kavita Sharma, residing at 18 Green Park Apartments, Vastrapur, Ahmedabad, Gujarat, India, holding a 35% ownership interest with a capital contribution of INR 3,500,000.</w:t>
      </w:r>
    </w:p>
    <w:p>
      <w:pPr>
        <w:spacing w:after="80"/>
      </w:pPr>
    </w:p>
    <w:p>
      <w:pPr>
        <w:spacing w:after="80"/>
        <w:ind w:left="360"/>
      </w:pPr>
      <w:r>
        <w:rPr>
          <w:rFonts w:ascii="Arial" w:hAnsi="Arial"/>
          <w:b w:val="0"/>
          <w:color w:val="222222"/>
          <w:sz w:val="22"/>
        </w:rPr>
        <w:t>3. Rohan Patel, residing at 52 Silver Heights, Prahlad Nagar, Ahmedabad, Gujarat, India, holding a 25% ownership interest with a capital contribution of INR 2,500,000.</w:t>
      </w:r>
    </w:p>
    <w:p>
      <w:pPr>
        <w:spacing w:after="80"/>
      </w:pPr>
    </w:p>
    <w:p>
      <w:pPr>
        <w:spacing w:after="120"/>
      </w:pPr>
      <w:r>
        <w:rPr>
          <w:rFonts w:ascii="Arial" w:hAnsi="Arial"/>
          <w:b w:val="0"/>
          <w:color w:val="222222"/>
          <w:sz w:val="22"/>
        </w:rPr>
        <w:t>These details establish the foundational identification and respective equity interests of each partner within the partnership. All partners confirm the accuracy of the information provided herein.</w:t>
      </w:r>
    </w:p>
    <w:p>
      <w:pPr>
        <w:spacing w:after="160"/>
      </w:pPr>
    </w:p>
    <w:p>
      <w:pPr>
        <w:spacing w:before="280" w:after="120"/>
      </w:pPr>
      <w:r>
        <w:rPr>
          <w:rFonts w:ascii="Arial" w:hAnsi="Arial"/>
          <w:b/>
          <w:color w:val="2E4057"/>
          <w:sz w:val="26"/>
        </w:rPr>
        <w:t>Purpose of the Partnership</w:t>
      </w:r>
    </w:p>
    <w:p>
      <w:pPr>
        <w:spacing w:after="120"/>
      </w:pPr>
      <w:r>
        <w:rPr>
          <w:rFonts w:ascii="Arial" w:hAnsi="Arial"/>
          <w:b w:val="0"/>
          <w:color w:val="222222"/>
          <w:sz w:val="22"/>
        </w:rPr>
        <w:t>The partnership between Turabit and the partner aims to achieve key business objectives focused on expanding market reach through collaborative development initiatives. Both parties seek to deliver innovative technology solutions and enterprise automation services, leveraging combined expertise to enhance operational efficiency and product development. Strengthening client engagement by offering integrated services and strategic support is a core objective, alongside driving sustainable revenue growth and long-term business value for both entities.</w:t>
      </w:r>
    </w:p>
    <w:p>
      <w:pPr>
        <w:spacing w:after="80"/>
      </w:pPr>
    </w:p>
    <w:p>
      <w:pPr>
        <w:spacing w:after="120"/>
      </w:pPr>
      <w:r>
        <w:rPr>
          <w:rFonts w:ascii="Arial" w:hAnsi="Arial"/>
          <w:b w:val="0"/>
          <w:color w:val="222222"/>
          <w:sz w:val="22"/>
        </w:rPr>
        <w:t>Turabit will provide technology infrastructure, software development, platform support, product innovation, system integration, and ensure data security and compliance. The partner will support business development, client acquisition, manage client relationships, and provide strategic insights and local market expertise. Both parties commit to collaborating on strategic planning, sharing business intelligence, and ensuring service delivery meets agreed quality and compliance standards.</w:t>
      </w:r>
    </w:p>
    <w:p>
      <w:pPr>
        <w:spacing w:after="160"/>
      </w:pPr>
    </w:p>
    <w:p>
      <w:pPr>
        <w:spacing w:before="280" w:after="120"/>
      </w:pPr>
      <w:r>
        <w:rPr>
          <w:rFonts w:ascii="Arial" w:hAnsi="Arial"/>
          <w:b/>
          <w:color w:val="2E4057"/>
          <w:sz w:val="26"/>
        </w:rPr>
        <w:t>Capital Contributions</w:t>
      </w:r>
    </w:p>
    <w:p>
      <w:pPr>
        <w:spacing w:after="120"/>
      </w:pPr>
      <w:r>
        <w:rPr>
          <w:rFonts w:ascii="Arial" w:hAnsi="Arial"/>
          <w:b w:val="0"/>
          <w:color w:val="222222"/>
          <w:sz w:val="22"/>
        </w:rPr>
        <w:t>Turabit shall contribute INR 6,000,000, representing 60% of the initial capital, while the Strategic Partner shall contribute INR 4,000,000, representing 40%. These contributions shall be made in cash or other agreed-upon assets at the formation of the partnership.</w:t>
      </w:r>
    </w:p>
    <w:p>
      <w:pPr>
        <w:spacing w:after="80"/>
      </w:pPr>
    </w:p>
    <w:p>
      <w:pPr>
        <w:spacing w:after="120"/>
      </w:pPr>
      <w:r>
        <w:rPr>
          <w:rFonts w:ascii="Arial" w:hAnsi="Arial"/>
          <w:b w:val="0"/>
          <w:color w:val="222222"/>
          <w:sz w:val="22"/>
        </w:rPr>
        <w:t>Additional capital contributions may be requested when necessary for expansion, operational needs, or strategic investments. Any such request must be approved by all partners in writing and include the amount, purpose, and timeline. Unless otherwise agreed, contributions shall be made proportionally to ownership percentages.</w:t>
      </w:r>
    </w:p>
    <w:p>
      <w:pPr>
        <w:spacing w:after="80"/>
      </w:pPr>
    </w:p>
    <w:p>
      <w:pPr>
        <w:spacing w:after="120"/>
      </w:pPr>
      <w:r>
        <w:rPr>
          <w:rFonts w:ascii="Arial" w:hAnsi="Arial"/>
          <w:b w:val="0"/>
          <w:color w:val="222222"/>
          <w:sz w:val="22"/>
        </w:rPr>
        <w:t>All contributions shall be recorded in the partnership’s financial records and capital accounts maintained by the Finance Department. Valuations will reflect actual monetary amounts or fair market value of non-cash assets. Capital accounts shall be reviewed periodically and adjusted for additional contributions, withdrawals, and profit or loss allocations.</w:t>
      </w:r>
    </w:p>
    <w:p>
      <w:pPr>
        <w:spacing w:after="160"/>
      </w:pPr>
    </w:p>
    <w:p>
      <w:pPr>
        <w:spacing w:before="280" w:after="120"/>
      </w:pPr>
      <w:r>
        <w:rPr>
          <w:rFonts w:ascii="Arial" w:hAnsi="Arial"/>
          <w:b/>
          <w:color w:val="2E4057"/>
          <w:sz w:val="26"/>
        </w:rPr>
        <w:t>Ownership Structure</w:t>
      </w:r>
    </w:p>
    <w:p>
      <w:pPr>
        <w:spacing w:after="120"/>
      </w:pPr>
      <w:r>
        <w:rPr>
          <w:rFonts w:ascii="Arial" w:hAnsi="Arial"/>
          <w:b w:val="0"/>
          <w:color w:val="222222"/>
          <w:sz w:val="22"/>
        </w:rPr>
        <w:t>The partnership comprises Turabit holding 60% ownership and the Strategic Partner holding 40% ownership. Turabit is responsible for technology leadership, product development, system infrastructure, and technical strategy, with primary authority over technical implementation and platform management decisions. The Strategic Partner manages business development, market expansion, client relationship management, and operational coordination, participating actively in strategic planning and commercial decision-making.</w:t>
      </w:r>
    </w:p>
    <w:p>
      <w:pPr>
        <w:spacing w:after="80"/>
      </w:pPr>
    </w:p>
    <w:p>
      <w:pPr>
        <w:spacing w:after="120"/>
      </w:pPr>
      <w:r>
        <w:rPr>
          <w:rFonts w:ascii="Arial" w:hAnsi="Arial"/>
          <w:b w:val="0"/>
          <w:color w:val="222222"/>
          <w:sz w:val="22"/>
        </w:rPr>
        <w:t>All major business decisions, including financial commitments, strategic partnerships, and structural changes, require mutual agreement between both partners.</w:t>
      </w:r>
    </w:p>
    <w:p>
      <w:pPr>
        <w:spacing w:after="80"/>
      </w:pPr>
    </w:p>
    <w:p>
      <w:pPr>
        <w:spacing w:after="120"/>
      </w:pPr>
      <w:r>
        <w:rPr>
          <w:rFonts w:ascii="Arial" w:hAnsi="Arial"/>
          <w:b w:val="0"/>
          <w:color w:val="222222"/>
          <w:sz w:val="22"/>
        </w:rPr>
        <w:t>Ownership changes are governed by provisions including a buy-sell agreement allowing buyouts under predefined valuation and approval procedures, transfer restrictions prohibiting transfers without prior written consent, and admission of new partners only with unanimous approval and execution of an amended partnership agreement reflecting revised ownership and responsibilities.</w:t>
      </w:r>
    </w:p>
    <w:p>
      <w:pPr>
        <w:spacing w:after="160"/>
      </w:pPr>
    </w:p>
    <w:p>
      <w:pPr>
        <w:spacing w:before="280" w:after="120"/>
      </w:pPr>
      <w:r>
        <w:rPr>
          <w:rFonts w:ascii="Arial" w:hAnsi="Arial"/>
          <w:b/>
          <w:color w:val="2E4057"/>
          <w:sz w:val="26"/>
        </w:rPr>
        <w:t>Roles and Responsibilities of Partners</w:t>
      </w:r>
    </w:p>
    <w:p>
      <w:pPr>
        <w:spacing w:after="120"/>
      </w:pPr>
      <w:r>
        <w:rPr>
          <w:rFonts w:ascii="Arial" w:hAnsi="Arial"/>
          <w:b w:val="0"/>
          <w:color w:val="222222"/>
          <w:sz w:val="22"/>
        </w:rPr>
        <w:t>The partners are collectively accountable for ensuring clear definition, execution, and oversight of their roles and responsibilities to achieve the objectives of the partnership agreement.</w:t>
      </w:r>
    </w:p>
    <w:p>
      <w:pPr>
        <w:spacing w:after="80"/>
      </w:pPr>
    </w:p>
    <w:tbl>
      <w:tblPr>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Activity</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Chief Executive Officer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Chief Financial Officer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Legal Counsel</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Business Development Manager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IT Compliance Officer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Human Resources Manager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Operations Manager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Reporting Manager</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Partnership agreement drafting and legal review</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Approval of partnership terms and conditions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Capital contribution planning and financial approval</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Strategic business planning and partnership governance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Technology development and platform management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Client acquisition and business development initiatives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Operational coordination and service delivery oversight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risk management, and regulatory adherence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Financial reporting and performance monitoring</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Partnership performance evaluation and review</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bl>
    <w:p>
      <w:pPr>
        <w:spacing w:after="120"/>
      </w:pPr>
    </w:p>
    <w:p>
      <w:pPr>
        <w:spacing w:after="80"/>
      </w:pPr>
    </w:p>
    <w:p>
      <w:pPr>
        <w:spacing w:after="120"/>
      </w:pPr>
      <w:r>
        <w:rPr>
          <w:rFonts w:ascii="Arial" w:hAnsi="Arial"/>
          <w:b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 = Informed</w:t>
            </w:r>
          </w:p>
        </w:tc>
      </w:tr>
    </w:tbl>
    <w:p>
      <w:pPr>
        <w:spacing w:after="120"/>
      </w:pPr>
    </w:p>
    <w:p>
      <w:pPr>
        <w:spacing w:after="160"/>
      </w:pPr>
    </w:p>
    <w:p>
      <w:pPr>
        <w:spacing w:before="280" w:after="120"/>
      </w:pPr>
      <w:r>
        <w:rPr>
          <w:rFonts w:ascii="Arial" w:hAnsi="Arial"/>
          <w:b/>
          <w:color w:val="2E4057"/>
          <w:sz w:val="26"/>
        </w:rPr>
        <w:t>Profit and Loss Distribution</w:t>
      </w:r>
    </w:p>
    <w:p>
      <w:pPr>
        <w:spacing w:after="120"/>
      </w:pPr>
      <w:r>
        <w:rPr>
          <w:rFonts w:ascii="Arial" w:hAnsi="Arial"/>
          <w:b w:val="0"/>
          <w:color w:val="222222"/>
          <w:sz w:val="22"/>
        </w:rPr>
        <w:t>The net profits and losses of the partnership shall be shared among the partners in proportion to their respective capital contributions, unless otherwise agreed in writing. The allocation percentages shall be documented separately and appended to this agreement upon finalization.</w:t>
      </w:r>
    </w:p>
    <w:p>
      <w:pPr>
        <w:spacing w:after="80"/>
      </w:pPr>
    </w:p>
    <w:p>
      <w:pPr>
        <w:spacing w:after="120"/>
      </w:pPr>
      <w:r>
        <w:rPr>
          <w:rFonts w:ascii="Arial" w:hAnsi="Arial"/>
          <w:b w:val="0"/>
          <w:color w:val="222222"/>
          <w:sz w:val="22"/>
        </w:rPr>
        <w:t>Distributions shall be made on a quarterly basis, within 30 days following the end of each financial quarter, subject to the availability of sufficient distributable profits as determined by the partnership’s accounting records.</w:t>
      </w:r>
    </w:p>
    <w:p>
      <w:pPr>
        <w:spacing w:after="80"/>
      </w:pPr>
    </w:p>
    <w:p>
      <w:pPr>
        <w:spacing w:after="120"/>
      </w:pPr>
      <w:r>
        <w:rPr>
          <w:rFonts w:ascii="Arial" w:hAnsi="Arial"/>
          <w:b w:val="0"/>
          <w:color w:val="222222"/>
          <w:sz w:val="22"/>
        </w:rPr>
        <w:t>No partner shall have priority or special rights in the allocation of profits or losses unless explicitly stated in a separate addendum to this agreement. Any changes to the profit and loss distribution terms require unanimous consent of all partners.</w:t>
      </w:r>
    </w:p>
    <w:p>
      <w:pPr>
        <w:spacing w:after="80"/>
      </w:pPr>
    </w:p>
    <w:p>
      <w:pPr>
        <w:spacing w:after="120"/>
      </w:pPr>
      <w:r>
        <w:rPr>
          <w:rFonts w:ascii="Arial" w:hAnsi="Arial"/>
          <w:b w:val="0"/>
          <w:color w:val="222222"/>
          <w:sz w:val="22"/>
        </w:rPr>
        <w:t>All distributions shall comply with applicable laws and regulations governing partnerships in India.</w:t>
      </w:r>
    </w:p>
    <w:p>
      <w:pPr>
        <w:spacing w:after="160"/>
      </w:pPr>
    </w:p>
    <w:p>
      <w:pPr>
        <w:spacing w:before="280" w:after="120"/>
      </w:pPr>
      <w:r>
        <w:rPr>
          <w:rFonts w:ascii="Arial" w:hAnsi="Arial"/>
          <w:b/>
          <w:color w:val="2E4057"/>
          <w:sz w:val="26"/>
        </w:rPr>
        <w:t>Decision-Making Process</w:t>
      </w:r>
    </w:p>
    <w:p>
      <w:pPr>
        <w:spacing w:after="120"/>
      </w:pPr>
      <w:r>
        <w:rPr>
          <w:rFonts w:ascii="Arial" w:hAnsi="Arial"/>
          <w:b w:val="0"/>
          <w:color w:val="222222"/>
          <w:sz w:val="22"/>
        </w:rPr>
        <w:t>Decisions within the partnership shall be made collectively by all partners, each holding equal voting rights unless otherwise agreed in writing. Each partner is entitled to one vote per issue presented for consideration.</w:t>
      </w:r>
    </w:p>
    <w:p>
      <w:pPr>
        <w:spacing w:after="80"/>
      </w:pPr>
    </w:p>
    <w:p>
      <w:pPr>
        <w:spacing w:after="120"/>
      </w:pPr>
      <w:r>
        <w:rPr>
          <w:rFonts w:ascii="Arial" w:hAnsi="Arial"/>
          <w:b w:val="0"/>
          <w:color w:val="222222"/>
          <w:sz w:val="22"/>
        </w:rPr>
        <w:t>Major decisions affecting the partnership, including but not limited to strategic direction, financial commitments exceeding predefined thresholds, amendments to the partnership agreement, and admission of new partners, require approval by a supermajority.</w:t>
      </w:r>
    </w:p>
    <w:p>
      <w:pPr>
        <w:spacing w:after="80"/>
      </w:pPr>
    </w:p>
    <w:p>
      <w:pPr>
        <w:spacing w:after="120"/>
      </w:pPr>
      <w:r>
        <w:rPr>
          <w:rFonts w:ascii="Arial" w:hAnsi="Arial"/>
          <w:b w:val="0"/>
          <w:color w:val="222222"/>
          <w:sz w:val="22"/>
        </w:rPr>
        <w:t>A minimum of seventy-five percent (75%) of the total voting rights must be obtained to pass any major decision. Routine operational matters may be decided by a simple majority of partners present at a duly convened meeting.</w:t>
      </w:r>
    </w:p>
    <w:p>
      <w:pPr>
        <w:spacing w:after="80"/>
      </w:pPr>
    </w:p>
    <w:p>
      <w:pPr>
        <w:spacing w:after="120"/>
      </w:pPr>
      <w:r>
        <w:rPr>
          <w:rFonts w:ascii="Arial" w:hAnsi="Arial"/>
          <w:b w:val="0"/>
          <w:color w:val="222222"/>
          <w:sz w:val="22"/>
        </w:rPr>
        <w:t>All decisions shall be documented and recorded in meeting minutes. In the event of a deadlock, partners agree to seek mediation or an alternative dispute resolution mechanism before pursuing further legal remedies.</w:t>
      </w:r>
    </w:p>
    <w:p>
      <w:pPr>
        <w:spacing w:after="160"/>
      </w:pPr>
    </w:p>
    <w:p>
      <w:pPr>
        <w:spacing w:before="280" w:after="120"/>
      </w:pPr>
      <w:r>
        <w:rPr>
          <w:rFonts w:ascii="Arial" w:hAnsi="Arial"/>
          <w:b/>
          <w:color w:val="2E4057"/>
          <w:sz w:val="26"/>
        </w:rPr>
        <w:t>Partner Withdrawal or Exit</w:t>
      </w:r>
    </w:p>
    <w:p>
      <w:pPr>
        <w:spacing w:after="120"/>
      </w:pPr>
      <w:r>
        <w:rPr>
          <w:rFonts w:ascii="Arial" w:hAnsi="Arial"/>
          <w:b w:val="0"/>
          <w:color w:val="222222"/>
          <w:sz w:val="22"/>
        </w:rPr>
        <w:t>A partner may withdraw or exit the partnership upon occurrence of agreed events such as mutual consent, breach of agreement, incapacity, or other justifiable causes as determined by the partnership. The withdrawing partner must provide a written notice of intent to exit at least 90 days prior to the effective withdrawal date, adhering to turabit’s internal policies and procedures for formal communication.</w:t>
      </w:r>
    </w:p>
    <w:p>
      <w:pPr>
        <w:spacing w:after="80"/>
      </w:pPr>
    </w:p>
    <w:p>
      <w:pPr>
        <w:spacing w:after="120"/>
      </w:pPr>
      <w:r>
        <w:rPr>
          <w:rFonts w:ascii="Arial" w:hAnsi="Arial"/>
          <w:b w:val="0"/>
          <w:color w:val="222222"/>
          <w:sz w:val="22"/>
        </w:rPr>
        <w:t>Upon withdrawal, the departing partner’s financial interests will be calculated based on their share of profits and losses up to the withdrawal date, along with any outstanding liabilities. Settlement of accounts shall be completed within 60 days following withdrawal, ensuring a fair and equitable distribution of assets and obligations. All calculations and payments will be subject to audit and approval by the partnership’s appointed financial officer.</w:t>
      </w:r>
    </w:p>
    <w:p>
      <w:pPr>
        <w:spacing w:after="160"/>
      </w:pPr>
    </w:p>
    <w:p>
      <w:pPr>
        <w:spacing w:before="280" w:after="120"/>
      </w:pPr>
      <w:r>
        <w:rPr>
          <w:rFonts w:ascii="Arial" w:hAnsi="Arial"/>
          <w:b/>
          <w:color w:val="2E4057"/>
          <w:sz w:val="26"/>
        </w:rPr>
        <w:t>Dispute Resolution</w:t>
      </w:r>
    </w:p>
    <w:p>
      <w:pPr>
        <w:spacing w:after="120"/>
      </w:pPr>
      <w:r>
        <w:rPr>
          <w:rFonts w:ascii="Arial" w:hAnsi="Arial"/>
          <w:b w:val="0"/>
          <w:color w:val="222222"/>
          <w:sz w:val="22"/>
        </w:rPr>
        <w:t>Any dispute arising out of or in connection with this Agreement shall first be attempted to be resolved amicably through good faith negotiations between the partners. If the dispute cannot be resolved within thirty (30) days of written notice by any party, the dispute shall be referred to arbitration.</w:t>
      </w:r>
    </w:p>
    <w:p>
      <w:pPr>
        <w:spacing w:after="80"/>
      </w:pPr>
    </w:p>
    <w:p>
      <w:pPr>
        <w:spacing w:after="120"/>
      </w:pPr>
      <w:r>
        <w:rPr>
          <w:rFonts w:ascii="Arial" w:hAnsi="Arial"/>
          <w:b w:val="0"/>
          <w:color w:val="222222"/>
          <w:sz w:val="22"/>
        </w:rPr>
        <w:t>The arbitration shall be conducted in accordance with the Arbitration and Conciliation Act, 1996, and the venue shall be Mumbai, India. The arbitration proceedings shall be conducted in English by a sole arbitrator mutually agreed upon by the parties, or appointed by the relevant arbitration institution if no agreement is reached within fifteen (15) days.</w:t>
      </w:r>
    </w:p>
    <w:p>
      <w:pPr>
        <w:spacing w:after="80"/>
      </w:pPr>
    </w:p>
    <w:p>
      <w:pPr>
        <w:spacing w:after="120"/>
      </w:pPr>
      <w:r>
        <w:rPr>
          <w:rFonts w:ascii="Arial" w:hAnsi="Arial"/>
          <w:b w:val="0"/>
          <w:color w:val="222222"/>
          <w:sz w:val="22"/>
        </w:rPr>
        <w:t>The decision of the arbitrator shall be final and binding on all parties. Each party shall bear its own costs unless otherwise determined by the arbitrator.</w:t>
      </w:r>
    </w:p>
    <w:p>
      <w:pPr>
        <w:spacing w:after="160"/>
      </w:pPr>
    </w:p>
    <w:p>
      <w:pPr>
        <w:spacing w:before="280" w:after="120"/>
      </w:pPr>
      <w:r>
        <w:rPr>
          <w:rFonts w:ascii="Arial" w:hAnsi="Arial"/>
          <w:b/>
          <w:color w:val="2E4057"/>
          <w:sz w:val="26"/>
        </w:rPr>
        <w:t>Partnership Termination</w:t>
      </w:r>
    </w:p>
    <w:p>
      <w:pPr>
        <w:spacing w:after="120"/>
      </w:pPr>
      <w:r>
        <w:rPr>
          <w:rFonts w:ascii="Arial" w:hAnsi="Arial"/>
          <w:b w:val="0"/>
          <w:color w:val="222222"/>
          <w:sz w:val="22"/>
        </w:rPr>
        <w:t>The partnership may be terminated upon the occurrence of any material breach by either party, mutual written agreement, insolvency, or any event rendering the partnership’s purpose impossible to achieve. Either party may terminate the agreement by providing no less than 90 days’ prior written notice via registered mail or email to the other party.</w:t>
      </w:r>
    </w:p>
    <w:p>
      <w:pPr>
        <w:spacing w:after="80"/>
      </w:pPr>
    </w:p>
    <w:p>
      <w:pPr>
        <w:spacing w:after="120"/>
      </w:pPr>
      <w:r>
        <w:rPr>
          <w:rFonts w:ascii="Arial" w:hAnsi="Arial"/>
          <w:b w:val="0"/>
          <w:color w:val="222222"/>
          <w:sz w:val="22"/>
        </w:rPr>
        <w:t>Upon termination, both parties shall cooperate to ensure an orderly wind-down of partnership affairs. Asset division shall be conducted fairly, with each party entitled to their respective contributions and investments. All outstanding liabilities and obligations incurred during the partnership shall be settled proportionately. Ongoing responsibilities, including confidentiality and non-compete clauses, shall survive termination as specified elsewhere in this agreement. Final accounting and distribution shall be completed within 60 days from the termination date.</w:t>
      </w:r>
    </w:p>
    <w:p>
      <w:pPr>
        <w:spacing w:after="160"/>
      </w:pPr>
    </w:p>
    <w:p>
      <w:pPr>
        <w:spacing w:before="280" w:after="120"/>
      </w:pPr>
      <w:r>
        <w:rPr>
          <w:rFonts w:ascii="Arial" w:hAnsi="Arial"/>
          <w:b/>
          <w:color w:val="2E4057"/>
          <w:sz w:val="26"/>
        </w:rPr>
        <w:t>Signatures of Partners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Managing Partner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Partner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Operations Partner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Partnership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