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Vendor Contract</w:t>
      </w:r>
    </w:p>
    <w:p>
      <w:pPr>
        <w:spacing w:after="240"/>
      </w:pPr>
      <w:r>
        <w:rPr>
          <w:rFonts w:ascii="Arial" w:hAnsi="Arial"/>
          <w:b w:val="0"/>
          <w:color w:val="888888"/>
          <w:sz w:val="20"/>
        </w:rPr>
        <w:t>turabit  ·  Legal  ·  India</w:t>
      </w:r>
    </w:p>
    <w:p>
      <w:pPr>
        <w:spacing w:after="280"/>
        <w:pBdr>
          <w:bottom w:val="single" w:sz="6" w:space="1" w:color="2E4057"/>
        </w:pBdr>
      </w:pPr>
    </w:p>
    <w:p>
      <w:pPr>
        <w:spacing w:before="280" w:after="120"/>
      </w:pPr>
      <w:r>
        <w:rPr>
          <w:rFonts w:ascii="Arial" w:hAnsi="Arial"/>
          <w:b/>
          <w:color w:val="2E4057"/>
          <w:sz w:val="26"/>
        </w:rPr>
        <w:t>Agreement Title and Date</w:t>
      </w:r>
    </w:p>
    <w:p>
      <w:pPr>
        <w:spacing w:after="120"/>
      </w:pPr>
      <w:r>
        <w:rPr>
          <w:rFonts w:ascii="Arial" w:hAnsi="Arial"/>
          <w:b w:val="0"/>
          <w:color w:val="222222"/>
          <w:sz w:val="22"/>
        </w:rPr>
        <w:t>This Master Service Agreement (the "Agreement") is entered into by and between turabit, a company incorporated and existing under the laws of India, and the Vendor, collectively referred to as the "Parties." The effective date of this Agreement shall be 01 April 2026. All rights, obligations, and responsibilities under this Agreement shall commence as of the effective date and continue in accordance with the terms and conditions set forth herein.</w:t>
      </w:r>
    </w:p>
    <w:p>
      <w:pPr>
        <w:spacing w:after="160"/>
      </w:pPr>
    </w:p>
    <w:p>
      <w:pPr>
        <w:spacing w:before="280" w:after="120"/>
      </w:pPr>
      <w:r>
        <w:rPr>
          <w:rFonts w:ascii="Arial" w:hAnsi="Arial"/>
          <w:b/>
          <w:color w:val="2E4057"/>
          <w:sz w:val="26"/>
        </w:rPr>
        <w:t>Parties to the Contract</w:t>
      </w:r>
    </w:p>
    <w:p>
      <w:pPr>
        <w:spacing w:after="120"/>
      </w:pPr>
      <w:r>
        <w:rPr>
          <w:rFonts w:ascii="Arial" w:hAnsi="Arial"/>
          <w:b w:val="0"/>
          <w:color w:val="222222"/>
          <w:sz w:val="22"/>
        </w:rPr>
        <w:t>The parties to this contract are TechSolutions Pvt. Ltd., a company incorporated under Indian laws, having its registered office at 42 Innovation Park, Ambawadi, Ahmedabad, Gujarat, India, represented by Rohan Mehta, Chief Executive Officer, and Turabit Technologies Private Limited, having its registered office at 12 Corporate Avenue, Prahlad Nagar, Ahmedabad, Gujarat, India, represented by Kavita Sharma, Chief Operating Officer. Both parties acknowledge their authority to enter into this agreement on behalf of their respective organizations.</w:t>
      </w:r>
    </w:p>
    <w:p>
      <w:pPr>
        <w:spacing w:after="160"/>
      </w:pPr>
    </w:p>
    <w:p>
      <w:pPr>
        <w:spacing w:before="280" w:after="120"/>
      </w:pPr>
      <w:r>
        <w:rPr>
          <w:rFonts w:ascii="Arial" w:hAnsi="Arial"/>
          <w:b/>
          <w:color w:val="2E4057"/>
          <w:sz w:val="26"/>
        </w:rPr>
        <w:t>Purpose of the Agreement</w:t>
      </w:r>
    </w:p>
    <w:p>
      <w:pPr>
        <w:spacing w:after="120"/>
      </w:pPr>
      <w:r>
        <w:rPr>
          <w:rFonts w:ascii="Arial" w:hAnsi="Arial"/>
          <w:b w:val="0"/>
          <w:color w:val="222222"/>
          <w:sz w:val="22"/>
        </w:rPr>
        <w:t>The purpose of this Agreement is to engage the vendor for enterprise software integration and customization services, cloud platform support and maintenance, AI-driven automation tools implementation, technical consulting, and training for Turabit staff. The Agreement aims to ensure seamless integration of third-party software, enhance operational efficiency, maintain high system availability, leverage vendor expertise for advanced technology, and provide cost-effective, scalable solutions aligned with Turabit’s strategic objectives within the technology and SaaS industry in India.</w:t>
      </w:r>
    </w:p>
    <w:p>
      <w:pPr>
        <w:spacing w:after="160"/>
      </w:pPr>
    </w:p>
    <w:p>
      <w:pPr>
        <w:spacing w:before="280" w:after="120"/>
      </w:pPr>
      <w:r>
        <w:rPr>
          <w:rFonts w:ascii="Arial" w:hAnsi="Arial"/>
          <w:b/>
          <w:color w:val="2E4057"/>
          <w:sz w:val="26"/>
        </w:rPr>
        <w:t>Scope of Supply</w:t>
      </w:r>
    </w:p>
    <w:p>
      <w:pPr>
        <w:spacing w:after="120"/>
      </w:pPr>
      <w:r>
        <w:rPr>
          <w:rFonts w:ascii="Arial" w:hAnsi="Arial"/>
          <w:b w:val="0"/>
          <w:color w:val="222222"/>
          <w:sz w:val="22"/>
        </w:rPr>
        <w:t>The vendor shall supply cloud-based workflow automation software licenses, AI-assisted document management tools, technical integration and customization services, platform maintenance and support, and training sessions for Turabit personnel. Deliverables include initial software deployment by 30 June 2026, monthly integration milestones from 01 May to 31 August 2026, ongoing maintenance with quarterly reviews, and two quarterly training sessions commencing 15 May 2026. Exclusions include end-user data entry, hardware procurement, third-party licenses outside scope, unspecified post-deployment modifications, and support beyond agreed platform components.</w:t>
      </w:r>
    </w:p>
    <w:p>
      <w:pPr>
        <w:spacing w:after="160"/>
      </w:pPr>
    </w:p>
    <w:p>
      <w:pPr>
        <w:spacing w:before="280" w:after="120"/>
      </w:pPr>
      <w:r>
        <w:rPr>
          <w:rFonts w:ascii="Arial" w:hAnsi="Arial"/>
          <w:b/>
          <w:color w:val="2E4057"/>
          <w:sz w:val="26"/>
        </w:rPr>
        <w:t>Product or Service Specifications</w:t>
      </w:r>
    </w:p>
    <w:p>
      <w:pPr>
        <w:spacing w:after="120"/>
      </w:pPr>
      <w:r>
        <w:rPr>
          <w:rFonts w:ascii="Arial" w:hAnsi="Arial"/>
          <w:b w:val="0"/>
          <w:color w:val="222222"/>
          <w:sz w:val="22"/>
        </w:rPr>
        <w:t>The vendor shall deliver cloud-based workflow automation software supporting a minimum of 1,000 concurrent users with 99.9% uptime. AI-assisted document management tools must achieve at least 95% accuracy in categorization and metadata extraction. Technical integration services must ensure seamless interoperability with Turabit’s systems. Maintenance includes updates, security patches, and performance monitoring. Training will cover all features with documented materials. Compliance with ISO/IEC 27001, GDPR, Indian data protection laws, and ITIL standards is mandatory. Acceptance testing includes functional and user acceptance tests.</w:t>
      </w:r>
    </w:p>
    <w:p>
      <w:pPr>
        <w:spacing w:after="160"/>
      </w:pPr>
    </w:p>
    <w:p>
      <w:pPr>
        <w:spacing w:before="280" w:after="120"/>
      </w:pPr>
      <w:r>
        <w:rPr>
          <w:rFonts w:ascii="Arial" w:hAnsi="Arial"/>
          <w:b/>
          <w:color w:val="2E4057"/>
          <w:sz w:val="26"/>
        </w:rPr>
        <w:t>Pricing and Payment Terms</w:t>
      </w:r>
    </w:p>
    <w:p>
      <w:pPr>
        <w:spacing w:after="120"/>
      </w:pPr>
      <w:r>
        <w:rPr>
          <w:rFonts w:ascii="Arial" w:hAnsi="Arial"/>
          <w:b w:val="0"/>
          <w:color w:val="222222"/>
          <w:sz w:val="22"/>
        </w:rPr>
        <w:t>The following table outlines the detailed pricing and payment terms agreed upon between the parties.</w:t>
      </w:r>
    </w:p>
    <w:p>
      <w:pPr>
        <w:spacing w:after="80"/>
      </w:pPr>
    </w:p>
    <w:tbl>
      <w:tblPr>
        <w:tblW w:type="auto" w:w="0"/>
        <w:jc w:val="left"/>
        <w:tblLook w:firstColumn="1" w:firstRow="1" w:lastColumn="0" w:lastRow="0" w:noHBand="0" w:noVBand="1" w:val="04A0"/>
      </w:tblPr>
      <w:tblGrid>
        <w:gridCol w:w="3120"/>
        <w:gridCol w:w="3120"/>
        <w:gridCol w:w="3120"/>
      </w:tblGrid>
      <w:tr>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Payment Milestone / Plan / Fee</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Due Date / Billing Frequency / Conditions Triggering Fee</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Amount / Payment Terms / Notes</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Initial Deployment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2026-06-30 / Due upon completion of initial software deployment and acceptance testing</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INR 3,000,000 / Due immediately upon milestone completion</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Integration Milestone 1</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2026-07-31 / Payable upon completion of first integration deliverables and approval by Turabit</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INR 1,000,000 / Due immediately upon milestone completion</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Integration Milestone 2</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2026-08-31 / Payable upon completion of second integration deliverables and approval by Turabit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INR 1,000,000 / Due immediately upon milestone completion</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Ongoing Maintenance</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2026-09-30 / Recurring quarterly payment for platform support and maintenance services</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INR 500,000 / Payable quarterly in advance</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Basic Plan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Monthly / No discounts applicable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INR 50,000 / Billed monthly</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Standard Plan</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Quarterly / 5% discount for annual prepayment</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INR 120,000 / Billed quarterly</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Enterprise Plan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Annually / 10% discount for multi-year contracts</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INR 450,000 / Billed annually</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Late Payment Penalty</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Applied if payment is more than 15 days past due / Payable within 7 days of notification</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INR 10,000 / Penalty fee</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Service Reinstatement Fee</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Charged if service access is suspended due to non-payment / Payable upon reactivation</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INR 5,000 / Fee for reactivation</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Change Request Fee</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Applicable for scope changes not included in the original agreement / Payable upon approval of change request</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INR 25,000 / Fee per approved change request</w:t>
            </w:r>
          </w:p>
        </w:tc>
      </w:tr>
    </w:tbl>
    <w:p>
      <w:pPr>
        <w:spacing w:after="120"/>
      </w:pPr>
    </w:p>
    <w:p>
      <w:pPr>
        <w:spacing w:after="160"/>
      </w:pPr>
    </w:p>
    <w:p>
      <w:pPr>
        <w:spacing w:before="280" w:after="120"/>
      </w:pPr>
      <w:r>
        <w:rPr>
          <w:rFonts w:ascii="Arial" w:hAnsi="Arial"/>
          <w:b/>
          <w:color w:val="2E4057"/>
          <w:sz w:val="26"/>
        </w:rPr>
        <w:t>Delivery and Logistics Terms</w:t>
      </w:r>
    </w:p>
    <w:p>
      <w:pPr>
        <w:spacing w:after="120"/>
      </w:pPr>
      <w:r>
        <w:rPr>
          <w:rFonts w:ascii="Arial" w:hAnsi="Arial"/>
          <w:b w:val="0"/>
          <w:color w:val="222222"/>
          <w:sz w:val="22"/>
        </w:rPr>
        <w:t>The following table outlines the key delivery terms agreed upon for the provision of services and products under this contract.</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Term 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Description</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Applicable Regions</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Effective 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Software Delivery</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Delivery of software products via secure digital download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India</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2024-06-01</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Documentation Delivery</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Transmission of user manuals and support materials via email</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India</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2024-06-01</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Onsite Deployment</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Physical deployment and integration services performed at Turabit locations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India</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2024-06-01</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Milestone-Based Delivery</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Delivery aligned with project milestones as per agreed schedule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India</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2024-06-01</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Training Sessions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Conducting training for Turabit personnel on software usage and maintenance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India</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2024-06-01</w:t>
            </w:r>
          </w:p>
        </w:tc>
      </w:tr>
    </w:tbl>
    <w:p>
      <w:pPr>
        <w:spacing w:after="120"/>
      </w:pPr>
    </w:p>
    <w:p>
      <w:pPr>
        <w:spacing w:after="160"/>
      </w:pPr>
    </w:p>
    <w:p>
      <w:pPr>
        <w:spacing w:before="280" w:after="120"/>
      </w:pPr>
      <w:r>
        <w:rPr>
          <w:rFonts w:ascii="Arial" w:hAnsi="Arial"/>
          <w:b/>
          <w:color w:val="2E4057"/>
          <w:sz w:val="26"/>
        </w:rPr>
        <w:t>Quality Standards and Compliance</w:t>
      </w:r>
    </w:p>
    <w:p>
      <w:pPr>
        <w:spacing w:after="120"/>
      </w:pPr>
      <w:r>
        <w:rPr>
          <w:rFonts w:ascii="Arial" w:hAnsi="Arial"/>
          <w:b w:val="0"/>
          <w:color w:val="222222"/>
          <w:sz w:val="22"/>
        </w:rPr>
        <w:t>Vendor shall comply with ISO/IEC 27001, ISO 9001, GDPR, applicable Indian data protection laws, and ITIL-aligned service management practices. Vendor must provide certifications for software accuracy, performance, and reliability where applicable.</w:t>
      </w:r>
    </w:p>
    <w:p>
      <w:pPr>
        <w:spacing w:after="80"/>
      </w:pPr>
    </w:p>
    <w:p>
      <w:pPr>
        <w:spacing w:after="120"/>
      </w:pPr>
      <w:r>
        <w:rPr>
          <w:rFonts w:ascii="Arial" w:hAnsi="Arial"/>
          <w:b w:val="0"/>
          <w:color w:val="222222"/>
          <w:sz w:val="22"/>
        </w:rPr>
        <w:t>Vendor shall submit quarterly compliance reports, maintain audit logs for review, provide evidence of certifications upon request, report non-compliance incidents immediately, and participate in periodic performance reviews and audits conducted by Turabit or its designated representatives.</w:t>
      </w:r>
    </w:p>
    <w:p>
      <w:pPr>
        <w:spacing w:after="160"/>
      </w:pPr>
    </w:p>
    <w:p>
      <w:pPr>
        <w:spacing w:before="280" w:after="120"/>
      </w:pPr>
      <w:r>
        <w:rPr>
          <w:rFonts w:ascii="Arial" w:hAnsi="Arial"/>
          <w:b/>
          <w:color w:val="2E4057"/>
          <w:sz w:val="26"/>
        </w:rPr>
        <w:t>Confidentiality Obligations</w:t>
      </w:r>
    </w:p>
    <w:p>
      <w:pPr>
        <w:spacing w:after="120"/>
      </w:pPr>
      <w:r>
        <w:rPr>
          <w:rFonts w:ascii="Arial" w:hAnsi="Arial"/>
          <w:b w:val="0"/>
          <w:color w:val="222222"/>
          <w:sz w:val="22"/>
        </w:rPr>
        <w:t>The vendor shall protect all confidential information including business strategies, proprietary software, user data, trade secrets, contract terms, and operational procedures disclosed by Turabit. Confidentiality obligations remain effective for five years after contract termination or expiration.</w:t>
      </w:r>
    </w:p>
    <w:p>
      <w:pPr>
        <w:spacing w:after="80"/>
      </w:pPr>
    </w:p>
    <w:p>
      <w:pPr>
        <w:spacing w:after="120"/>
      </w:pPr>
      <w:r>
        <w:rPr>
          <w:rFonts w:ascii="Arial" w:hAnsi="Arial"/>
          <w:b w:val="0"/>
          <w:color w:val="222222"/>
          <w:sz w:val="22"/>
        </w:rPr>
        <w:t>Permitted disclosures include: 1. Required by law with prompt notice to Turabit 2. To employees or advisors bound by confidentiality 3. Publicly available information 4. Independently developed information without Turabit’s reference.</w:t>
      </w:r>
    </w:p>
    <w:p>
      <w:pPr>
        <w:spacing w:after="160"/>
      </w:pPr>
    </w:p>
    <w:p>
      <w:pPr>
        <w:spacing w:before="280" w:after="120"/>
      </w:pPr>
      <w:r>
        <w:rPr>
          <w:rFonts w:ascii="Arial" w:hAnsi="Arial"/>
          <w:b/>
          <w:color w:val="2E4057"/>
          <w:sz w:val="26"/>
        </w:rPr>
        <w:t>Termination Conditions</w:t>
      </w:r>
    </w:p>
    <w:p>
      <w:pPr>
        <w:spacing w:after="120"/>
      </w:pPr>
      <w:r>
        <w:rPr>
          <w:rFonts w:ascii="Arial" w:hAnsi="Arial"/>
          <w:b w:val="0"/>
          <w:color w:val="222222"/>
          <w:sz w:val="22"/>
        </w:rPr>
        <w:t>Termination may occur upon material breach, insolvency, persistent non-compliance with laws or data protection, mutual agreement, or termination for convenience as outlined herein. Either party must provide written notice at least thirty days prior to termination for convenience.</w:t>
      </w:r>
    </w:p>
    <w:p>
      <w:pPr>
        <w:spacing w:after="80"/>
      </w:pPr>
    </w:p>
    <w:p>
      <w:pPr>
        <w:spacing w:after="120"/>
      </w:pPr>
      <w:r>
        <w:rPr>
          <w:rFonts w:ascii="Arial" w:hAnsi="Arial"/>
          <w:b w:val="0"/>
          <w:color w:val="222222"/>
          <w:sz w:val="22"/>
        </w:rPr>
        <w:t>Upon termination, all payment obligations up to the effective date must be fulfilled. Confidential information and client data shall be returned or securely destroyed. Outstanding fees and reimbursements must be settled. Transition activities, including deliverable handover, shall be completed to minimize disruption. No penalties apply for termination with proper notice.</w:t>
      </w:r>
    </w:p>
    <w:p>
      <w:pPr>
        <w:spacing w:after="160"/>
      </w:pPr>
    </w:p>
    <w:p>
      <w:pPr>
        <w:spacing w:before="280" w:after="120"/>
      </w:pPr>
      <w:r>
        <w:rPr>
          <w:rFonts w:ascii="Arial" w:hAnsi="Arial"/>
          <w:b/>
          <w:color w:val="2E4057"/>
          <w:sz w:val="26"/>
        </w:rPr>
        <w:t>Dispute Resolution</w:t>
      </w:r>
    </w:p>
    <w:p>
      <w:pPr>
        <w:spacing w:after="120"/>
      </w:pPr>
      <w:r>
        <w:rPr>
          <w:rFonts w:ascii="Arial" w:hAnsi="Arial"/>
          <w:b w:val="0"/>
          <w:color w:val="222222"/>
          <w:sz w:val="22"/>
        </w:rPr>
        <w:t>Any disputes arising out of or in connection with this agreement shall be resolved through good faith negotiations between the parties. If unresolved, disputes will be submitted to binding arbitration under the rules of the Indian Arbitration and Conciliation Act, 1996. The venue for arbitration shall be Mumbai, India, and proceedings will be conducted in English. Judgment upon the arbitration award may be entered in any court having jurisdiction. Each party shall bear its own costs unless otherwise determined by the arbitrator.</w:t>
      </w:r>
    </w:p>
    <w:p>
      <w:pPr>
        <w:spacing w:after="160"/>
      </w:pPr>
    </w:p>
    <w:p>
      <w:pPr>
        <w:spacing w:before="280" w:after="120"/>
      </w:pPr>
      <w:r>
        <w:rPr>
          <w:rFonts w:ascii="Arial" w:hAnsi="Arial"/>
          <w:b/>
          <w:color w:val="2E4057"/>
          <w:sz w:val="26"/>
        </w:rPr>
        <w:t>Governing Law</w:t>
      </w:r>
    </w:p>
    <w:p>
      <w:pPr>
        <w:spacing w:after="120"/>
      </w:pPr>
      <w:r>
        <w:rPr>
          <w:rFonts w:ascii="Arial" w:hAnsi="Arial"/>
          <w:b w:val="0"/>
          <w:color w:val="222222"/>
          <w:sz w:val="22"/>
        </w:rPr>
        <w:t>The interpretation, construction, and enforcement of this Agreement shall be governed by and construed in accordance with the laws of the State of Maharashtra, India, without regard to its conflict of law principles. Both parties irrevocably submit to the exclusive jurisdiction of the courts located in Mumbai, Maharashtra, for any disputes arising out of or relating to this Agreement. Each party waives any objection to venue and jurisdiction in such courts, ensuring efficient and consistent resolution of disputes.</w:t>
      </w:r>
    </w:p>
    <w:p>
      <w:pPr>
        <w:spacing w:after="160"/>
      </w:pPr>
    </w:p>
    <w:p>
      <w:pPr>
        <w:spacing w:before="280" w:after="120"/>
      </w:pPr>
      <w:r>
        <w:rPr>
          <w:rFonts w:ascii="Arial" w:hAnsi="Arial"/>
          <w:b/>
          <w:color w:val="2E4057"/>
          <w:sz w:val="26"/>
        </w:rPr>
        <w:t>Authorized Signatures</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Contracts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Chief Legal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Vendor Contract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Vendor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