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Advertising Brief</w:t>
      </w:r>
    </w:p>
    <w:p>
      <w:pPr>
        <w:spacing w:after="120"/>
      </w:pPr>
      <w:r>
        <w:rPr>
          <w:rFonts w:ascii="Arial" w:hAnsi="Arial"/>
          <w:b w:val="0"/>
          <w:i w:val="0"/>
          <w:color w:val="888888"/>
          <w:sz w:val="20"/>
        </w:rPr>
        <w:t>turabit  ·  Marketing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Marketing</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120"/>
      </w:pPr>
      <w:r>
        <w:rPr>
          <w:rFonts w:ascii="Arial" w:hAnsi="Arial"/>
          <w:b w:val="0"/>
          <w:i w:val="0"/>
          <w:color w:val="222222"/>
          <w:sz w:val="22"/>
        </w:rPr>
        <w:t>Effective Date: 01 April 2026</w:t>
      </w:r>
    </w:p>
    <w:p>
      <w:pPr>
        <w:spacing w:after="120"/>
      </w:pPr>
      <w:r>
        <w:rPr>
          <w:rFonts w:ascii="Arial" w:hAnsi="Arial"/>
          <w:b w:val="0"/>
          <w:i w:val="0"/>
          <w:color w:val="222222"/>
          <w:sz w:val="22"/>
        </w:rPr>
        <w:t>Document Version: 1.0</w:t>
      </w:r>
    </w:p>
    <w:p>
      <w:pPr>
        <w:spacing w:after="120"/>
      </w:pPr>
      <w:r>
        <w:rPr>
          <w:rFonts w:ascii="Arial" w:hAnsi="Arial"/>
          <w:b w:val="0"/>
          <w:i w:val="0"/>
          <w:color w:val="222222"/>
          <w:sz w:val="22"/>
        </w:rPr>
        <w:t>Prepared By: Marketing Strategy Team</w:t>
      </w:r>
    </w:p>
    <w:p>
      <w:pPr>
        <w:spacing w:after="120"/>
      </w:pPr>
      <w:r>
        <w:rPr>
          <w:rFonts w:ascii="Arial" w:hAnsi="Arial"/>
          <w:b w:val="0"/>
          <w:i w:val="0"/>
          <w:color w:val="222222"/>
          <w:sz w:val="22"/>
        </w:rPr>
        <w:t>Approved By: Marketing Director</w:t>
      </w:r>
    </w:p>
    <w:p>
      <w:pPr>
        <w:spacing w:after="120"/>
      </w:pPr>
      <w:r>
        <w:rPr>
          <w:rFonts w:ascii="Arial" w:hAnsi="Arial"/>
          <w:b w:val="0"/>
          <w:i w:val="0"/>
          <w:color w:val="222222"/>
          <w:sz w:val="22"/>
        </w:rPr>
        <w:t>Confidentiality Level: Internal Use Only</w:t>
      </w:r>
    </w:p>
    <w:p>
      <w:pPr>
        <w:spacing w:after="120"/>
      </w:pPr>
    </w:p>
    <w:p>
      <w:pPr>
        <w:spacing w:before="240" w:after="100"/>
        <w:pBdr>
          <w:bottom w:val="single" w:sz="6" w:space="1" w:color="2E4057"/>
        </w:pBdr>
      </w:pPr>
      <w:r>
        <w:rPr>
          <w:rFonts w:ascii="Arial" w:hAnsi="Arial"/>
          <w:b/>
          <w:i w:val="0"/>
          <w:color w:val="2E4057"/>
          <w:sz w:val="26"/>
        </w:rPr>
        <w:t>Campaign Overview</w:t>
      </w:r>
    </w:p>
    <w:p>
      <w:pPr>
        <w:spacing w:after="120"/>
      </w:pPr>
      <w:r>
        <w:rPr>
          <w:rFonts w:ascii="Arial" w:hAnsi="Arial"/>
          <w:b w:val="0"/>
          <w:i w:val="0"/>
          <w:color w:val="222222"/>
          <w:sz w:val="22"/>
        </w:rPr>
        <w:t>turabit’s campaign aims to increase brand awareness, generate qualified leads, and drive adoption of its AI-powered documentation platform. Targeting enterprise decision-makers in India, North America, and Europe, the campaign runs April to June 2026 with phased executions.</w:t>
      </w:r>
    </w:p>
    <w:p>
      <w:pPr>
        <w:spacing w:after="120"/>
      </w:pPr>
    </w:p>
    <w:p>
      <w:pPr>
        <w:spacing w:before="240" w:after="100"/>
        <w:pBdr>
          <w:bottom w:val="single" w:sz="6" w:space="1" w:color="2E4057"/>
        </w:pBdr>
      </w:pPr>
      <w:r>
        <w:rPr>
          <w:rFonts w:ascii="Arial" w:hAnsi="Arial"/>
          <w:b/>
          <w:i w:val="0"/>
          <w:color w:val="2E4057"/>
          <w:sz w:val="26"/>
        </w:rPr>
        <w:t>Business Objectives</w:t>
      </w:r>
    </w:p>
    <w:p>
      <w:pPr>
        <w:spacing w:after="120"/>
      </w:pPr>
      <w:r>
        <w:rPr>
          <w:rFonts w:ascii="Arial" w:hAnsi="Arial"/>
          <w:b w:val="0"/>
          <w:i w:val="0"/>
          <w:color w:val="222222"/>
          <w:sz w:val="22"/>
        </w:rPr>
        <w:t>Increase qualified user sign-ups by 40%, grow monthly recurring revenue by 25%, generate over 1,500 marketing qualified leads, improve ad conversion rate to 6%, expand AI documentation market share by 10%, and reduce cost-per-lead by 20% by June 30, 2026.</w:t>
      </w:r>
    </w:p>
    <w:p>
      <w:pPr>
        <w:spacing w:after="120"/>
      </w:pPr>
    </w:p>
    <w:p>
      <w:pPr>
        <w:spacing w:before="240" w:after="100"/>
        <w:pBdr>
          <w:bottom w:val="single" w:sz="6" w:space="1" w:color="2E4057"/>
        </w:pBdr>
      </w:pPr>
      <w:r>
        <w:rPr>
          <w:rFonts w:ascii="Arial" w:hAnsi="Arial"/>
          <w:b/>
          <w:i w:val="0"/>
          <w:color w:val="2E4057"/>
          <w:sz w:val="26"/>
        </w:rPr>
        <w:t>Marketing Objectives</w:t>
      </w:r>
    </w:p>
    <w:p>
      <w:pPr>
        <w:spacing w:after="120"/>
      </w:pPr>
      <w:r>
        <w:rPr>
          <w:rFonts w:ascii="Arial" w:hAnsi="Arial"/>
          <w:b w:val="0"/>
          <w:i w:val="0"/>
          <w:color w:val="222222"/>
          <w:sz w:val="22"/>
        </w:rPr>
        <w:t>Increase brand awareness by 35% through impressions and reach. Generate over 2,000 qualified leads. Achieve a 6% click-through rate across digital channels. Boost website traffic by 45%. Enhance social media engagement by 30%. Reduce cost-per-acquisition by 15%.</w:t>
      </w:r>
    </w:p>
    <w:p>
      <w:pPr>
        <w:spacing w:after="120"/>
      </w:pPr>
    </w:p>
    <w:p>
      <w:pPr>
        <w:spacing w:before="240" w:after="100"/>
        <w:pBdr>
          <w:bottom w:val="single" w:sz="6" w:space="1" w:color="2E4057"/>
        </w:pBdr>
      </w:pPr>
      <w:r>
        <w:rPr>
          <w:rFonts w:ascii="Arial" w:hAnsi="Arial"/>
          <w:b/>
          <w:i w:val="0"/>
          <w:color w:val="2E4057"/>
          <w:sz w:val="26"/>
        </w:rPr>
        <w:t>Target Audience Profile</w:t>
      </w:r>
    </w:p>
    <w:p>
      <w:pPr>
        <w:spacing w:after="120"/>
      </w:pPr>
      <w:r>
        <w:rPr>
          <w:rFonts w:ascii="Arial" w:hAnsi="Arial"/>
          <w:b w:val="0"/>
          <w:i w:val="0"/>
          <w:color w:val="222222"/>
          <w:sz w:val="22"/>
        </w:rPr>
        <w:t>Targeting mid to high income IT managers, operations managers, compliance officers, and business executives aged 25–50 across Tier 1 cities and emerging tech hubs in India, addressing documentation inefficiencies, compliance challenges, collaboration, and automation needs.</w:t>
      </w:r>
    </w:p>
    <w:p>
      <w:pPr>
        <w:spacing w:after="120"/>
      </w:pPr>
    </w:p>
    <w:p>
      <w:pPr>
        <w:spacing w:before="240" w:after="100"/>
        <w:pBdr>
          <w:bottom w:val="single" w:sz="6" w:space="1" w:color="2E4057"/>
        </w:pBdr>
      </w:pPr>
      <w:r>
        <w:rPr>
          <w:rFonts w:ascii="Arial" w:hAnsi="Arial"/>
          <w:b/>
          <w:i w:val="0"/>
          <w:color w:val="2E4057"/>
          <w:sz w:val="26"/>
        </w:rPr>
        <w:t>Key Consumer Insight</w:t>
      </w:r>
    </w:p>
    <w:p>
      <w:pPr>
        <w:spacing w:after="120"/>
      </w:pPr>
      <w:r>
        <w:rPr>
          <w:rFonts w:ascii="Arial" w:hAnsi="Arial"/>
          <w:b w:val="0"/>
          <w:i w:val="0"/>
          <w:color w:val="222222"/>
          <w:sz w:val="22"/>
        </w:rPr>
        <w:t>Target consumers face frustration from manual documentation causing inefficiency, errors, and compliance risks. They prefer AI-driven, scalable SaaS solutions that enhance productivity. Turabit uniquely offers integrated intelligent document generation, workflow automation, and compliance management in one platform.</w:t>
      </w:r>
    </w:p>
    <w:p>
      <w:pPr>
        <w:spacing w:after="120"/>
      </w:pPr>
    </w:p>
    <w:p>
      <w:pPr>
        <w:spacing w:before="240" w:after="100"/>
        <w:pBdr>
          <w:bottom w:val="single" w:sz="6" w:space="1" w:color="2E4057"/>
        </w:pBdr>
      </w:pPr>
      <w:r>
        <w:rPr>
          <w:rFonts w:ascii="Arial" w:hAnsi="Arial"/>
          <w:b/>
          <w:i w:val="0"/>
          <w:color w:val="2E4057"/>
          <w:sz w:val="26"/>
        </w:rPr>
        <w:t>Core Message and Value Proposition</w:t>
      </w:r>
    </w:p>
    <w:p>
      <w:pPr>
        <w:spacing w:after="120"/>
      </w:pPr>
      <w:r>
        <w:rPr>
          <w:rFonts w:ascii="Arial" w:hAnsi="Arial"/>
          <w:b w:val="0"/>
          <w:i w:val="0"/>
          <w:color w:val="222222"/>
          <w:sz w:val="22"/>
        </w:rPr>
        <w:t>turabit offers an AI-powered enterprise documentation platform integrating dynamic content, workflow automation, and compliance management. It streamlines processes, reduces errors by up to 70%, boosts efficiency by 40%, and cuts documentation costs by 25–30%.</w:t>
      </w:r>
    </w:p>
    <w:p>
      <w:pPr>
        <w:spacing w:after="120"/>
      </w:pPr>
    </w:p>
    <w:p>
      <w:pPr>
        <w:spacing w:before="240" w:after="100"/>
        <w:pBdr>
          <w:bottom w:val="single" w:sz="6" w:space="1" w:color="2E4057"/>
        </w:pBdr>
      </w:pPr>
      <w:r>
        <w:rPr>
          <w:rFonts w:ascii="Arial" w:hAnsi="Arial"/>
          <w:b/>
          <w:i w:val="0"/>
          <w:color w:val="2E4057"/>
          <w:sz w:val="26"/>
        </w:rPr>
        <w:t>Creative Direction</w:t>
      </w:r>
    </w:p>
    <w:p>
      <w:pPr>
        <w:spacing w:after="120"/>
      </w:pPr>
      <w:r>
        <w:rPr>
          <w:rFonts w:ascii="Arial" w:hAnsi="Arial"/>
          <w:b w:val="0"/>
          <w:i w:val="0"/>
          <w:color w:val="222222"/>
          <w:sz w:val="22"/>
        </w:rPr>
        <w:t>Use modern, clean, professional design with minimalistic layouts and clear hierarchy. Employ brand colors blue, white, neutrals. Integrate AI and technology visuals, clear typography, and product UI elements. Emphasize clarity, trust, and innovation for tech-savvy professionals.</w:t>
      </w:r>
    </w:p>
    <w:p>
      <w:pPr>
        <w:spacing w:after="120"/>
      </w:pPr>
    </w:p>
    <w:p>
      <w:pPr>
        <w:spacing w:before="240" w:after="100"/>
        <w:pBdr>
          <w:bottom w:val="single" w:sz="6" w:space="1" w:color="2E4057"/>
        </w:pBdr>
      </w:pPr>
      <w:r>
        <w:rPr>
          <w:rFonts w:ascii="Arial" w:hAnsi="Arial"/>
          <w:b/>
          <w:i w:val="0"/>
          <w:color w:val="2E4057"/>
          <w:sz w:val="26"/>
        </w:rPr>
        <w:t>Brand Guidelines for Creative</w:t>
      </w:r>
    </w:p>
    <w:p>
      <w:pPr>
        <w:spacing w:after="120"/>
      </w:pPr>
      <w:r>
        <w:rPr>
          <w:rFonts w:ascii="Arial" w:hAnsi="Arial"/>
          <w:b w:val="0"/>
          <w:i w:val="0"/>
          <w:color w:val="222222"/>
          <w:sz w:val="22"/>
        </w:rPr>
        <w:t>Use primary colors: Primary Blue 1E3A8A, Accent Blue 3B82F6, Dark Gray 1F2937, Light Gray F3F4F6, White FFFFFF, Success Green 10B981, Warning Orange F59E0B. 1. Maintain clear space equal to logo height 2.</w:t>
      </w:r>
    </w:p>
    <w:p>
      <w:pPr>
        <w:spacing w:after="120"/>
      </w:pPr>
    </w:p>
    <w:p>
      <w:pPr>
        <w:spacing w:before="240" w:after="100"/>
        <w:pBdr>
          <w:bottom w:val="single" w:sz="6" w:space="1" w:color="2E4057"/>
        </w:pBdr>
      </w:pPr>
      <w:r>
        <w:rPr>
          <w:rFonts w:ascii="Arial" w:hAnsi="Arial"/>
          <w:b/>
          <w:i w:val="0"/>
          <w:color w:val="2E4057"/>
          <w:sz w:val="26"/>
        </w:rPr>
        <w:t>Media Channels</w:t>
      </w:r>
    </w:p>
    <w:p>
      <w:pPr>
        <w:spacing w:after="80"/>
        <w:ind w:left="360"/>
      </w:pPr>
      <w:r>
        <w:rPr>
          <w:rFonts w:ascii="Arial" w:hAnsi="Arial"/>
          <w:b w:val="0"/>
          <w:i w:val="0"/>
          <w:color w:val="222222"/>
          <w:sz w:val="22"/>
        </w:rPr>
        <w:t>1. Google Ads Search targets high-intent AI and SaaS users with 30% budget. 2. LinkedIn focuses on enterprise decision-makers with 25% allocation. 3. Facebook and Instagram reach tech-savvy professionals at 15%. 4.</w:t>
      </w:r>
    </w:p>
    <w:p>
      <w:pPr>
        <w:spacing w:after="120"/>
      </w:pPr>
    </w:p>
    <w:p>
      <w:pPr>
        <w:spacing w:before="240" w:after="100"/>
        <w:pBdr>
          <w:bottom w:val="single" w:sz="6" w:space="1" w:color="2E4057"/>
        </w:pBdr>
      </w:pPr>
      <w:r>
        <w:rPr>
          <w:rFonts w:ascii="Arial" w:hAnsi="Arial"/>
          <w:b/>
          <w:i w:val="0"/>
          <w:color w:val="2E4057"/>
          <w:sz w:val="26"/>
        </w:rPr>
        <w:t>Campaign Timeline</w:t>
      </w:r>
    </w:p>
    <w:p>
      <w:pPr>
        <w:spacing w:after="120"/>
      </w:pPr>
      <w:r>
        <w:rPr>
          <w:rFonts w:ascii="Arial" w:hAnsi="Arial"/>
          <w:b w:val="0"/>
          <w:i w:val="0"/>
          <w:color w:val="222222"/>
          <w:sz w:val="22"/>
        </w:rPr>
        <w:t>The campaign runs from 01 April to 30 June 2026. Key milestones include planning and asset finalization from 01–07 April, launch on 08 April, first review on 01 May, second optimization on 01 June, and final reporting from 25–30 June.</w:t>
      </w:r>
    </w:p>
    <w:p>
      <w:pPr>
        <w:spacing w:after="120"/>
      </w:pPr>
    </w:p>
    <w:p>
      <w:pPr>
        <w:spacing w:before="240" w:after="100"/>
        <w:pBdr>
          <w:bottom w:val="single" w:sz="6" w:space="1" w:color="2E4057"/>
        </w:pBdr>
      </w:pPr>
      <w:r>
        <w:rPr>
          <w:rFonts w:ascii="Arial" w:hAnsi="Arial"/>
          <w:b/>
          <w:i w:val="0"/>
          <w:color w:val="2E4057"/>
          <w:sz w:val="26"/>
        </w:rPr>
        <w:t>Budget Allocation</w:t>
      </w:r>
    </w:p>
    <w:p>
      <w:pPr>
        <w:spacing w:after="120"/>
      </w:pPr>
      <w:r>
        <w:rPr>
          <w:rFonts w:ascii="Arial" w:hAnsi="Arial"/>
          <w:b w:val="0"/>
          <w:i w:val="0"/>
          <w:color w:val="222222"/>
          <w:sz w:val="22"/>
        </w:rPr>
        <w:t>The following table outlines the detailed budget allocation for the advertising campaign, highlighting the distribution of funds across key marketing categories along with their respective justifications.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Budget Category</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Allocated Amount (USD)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Percentage of Total Budget</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Justification</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Digital Advertising</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High ROI channel for immediate lead generation</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Social Media Advertising</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10000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Enhances audience targeting and engagement</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Marketing</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14%</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Supports SEO and thought leadership positioning</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Search Engine Optimization (SEO)</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5000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Drives sustainable organic growth</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Video Marketing</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Improves user engagement and product understanding</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Tools &amp; Software</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3000</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Enables campaign tracking and automation</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Contingency Reserve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4000</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Ensures flexibility for optimization and risk mitigation</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Expected Deliverables</w:t>
      </w:r>
    </w:p>
    <w:p>
      <w:pPr>
        <w:spacing w:after="80"/>
        <w:ind w:left="360"/>
      </w:pPr>
      <w:r>
        <w:rPr>
          <w:rFonts w:ascii="Arial" w:hAnsi="Arial"/>
          <w:b w:val="0"/>
          <w:i w:val="0"/>
          <w:color w:val="222222"/>
          <w:sz w:val="22"/>
        </w:rPr>
        <w:t>1. Digital ads, print collateral, and video content tailored for target audiences.</w:t>
      </w:r>
    </w:p>
    <w:p>
      <w:pPr>
        <w:spacing w:after="80"/>
        <w:ind w:left="360"/>
      </w:pPr>
      <w:r>
        <w:rPr>
          <w:rFonts w:ascii="Arial" w:hAnsi="Arial"/>
          <w:b w:val="0"/>
          <w:i w:val="0"/>
          <w:color w:val="222222"/>
          <w:sz w:val="22"/>
        </w:rPr>
        <w:t>2. Initial drafts due within three weeks, final versions by six weeks from project start.</w:t>
      </w:r>
    </w:p>
    <w:p>
      <w:pPr>
        <w:spacing w:after="80"/>
        <w:ind w:left="360"/>
      </w:pPr>
      <w:r>
        <w:rPr>
          <w:rFonts w:ascii="Arial" w:hAnsi="Arial"/>
          <w:b w:val="0"/>
          <w:i w:val="0"/>
          <w:color w:val="222222"/>
          <w:sz w:val="22"/>
        </w:rPr>
        <w:t>3. Creative team responsible for production; Marketing Manager to review and approve all deliverables.</w:t>
      </w:r>
    </w:p>
    <w:p>
      <w:pPr>
        <w:spacing w:after="120"/>
      </w:pPr>
    </w:p>
    <w:p>
      <w:pPr>
        <w:spacing w:before="240" w:after="100"/>
        <w:pBdr>
          <w:bottom w:val="single" w:sz="6" w:space="1" w:color="2E4057"/>
        </w:pBdr>
      </w:pPr>
      <w:r>
        <w:rPr>
          <w:rFonts w:ascii="Arial" w:hAnsi="Arial"/>
          <w:b/>
          <w:i w:val="0"/>
          <w:color w:val="2E4057"/>
          <w:sz w:val="26"/>
        </w:rPr>
        <w:t>Performance Metrics</w:t>
      </w:r>
    </w:p>
    <w:p>
      <w:pPr>
        <w:spacing w:after="120"/>
      </w:pPr>
      <w:r>
        <w:rPr>
          <w:rFonts w:ascii="Arial" w:hAnsi="Arial"/>
          <w:b w:val="0"/>
          <w:i w:val="0"/>
          <w:color w:val="222222"/>
          <w:sz w:val="22"/>
        </w:rPr>
        <w:t>Key performance indicators include click-through rate, conversion rate, cost per acquisition, and brand awareness metrics. Target benchmarks will be established based on historical data. Performance metrics will be tracked and reported weekly via dashboards and detailed reports.</w:t>
      </w:r>
    </w:p>
    <w:p>
      <w:pPr>
        <w:spacing w:after="400"/>
      </w:pPr>
    </w:p>
    <w:p>
      <w:pPr>
        <w:jc w:val="center"/>
      </w:pPr>
      <w:r>
        <w:rPr>
          <w:rFonts w:ascii="Arial" w:hAnsi="Arial"/>
          <w:b w:val="0"/>
          <w:i w:val="0"/>
          <w:color w:val="888888"/>
          <w:sz w:val="16"/>
        </w:rPr>
        <w:t>Advertising Brief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Advertising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