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Email Campaign Plan</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Marketing</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Owner: Marketing Campaign Manager</w:t>
      </w:r>
    </w:p>
    <w:p>
      <w:pPr>
        <w:spacing w:after="120"/>
      </w:pPr>
      <w:r>
        <w:rPr>
          <w:rFonts w:ascii="Arial" w:hAnsi="Arial"/>
          <w:b w:val="0"/>
          <w:i w:val="0"/>
          <w:color w:val="222222"/>
          <w:sz w:val="22"/>
        </w:rPr>
        <w:t>Document Version: 1.0</w:t>
      </w:r>
    </w:p>
    <w:p>
      <w:pPr>
        <w:spacing w:after="120"/>
      </w:pPr>
      <w:r>
        <w:rPr>
          <w:rFonts w:ascii="Arial" w:hAnsi="Arial"/>
          <w:b w:val="0"/>
          <w:i w:val="0"/>
          <w:color w:val="222222"/>
          <w:sz w:val="22"/>
        </w:rPr>
        <w:t>Confidentiality Level: Internal Use Only</w:t>
      </w:r>
    </w:p>
    <w:p>
      <w:pPr>
        <w:spacing w:after="120"/>
      </w:pPr>
    </w:p>
    <w:p>
      <w:pPr>
        <w:spacing w:before="240" w:after="100"/>
        <w:pBdr>
          <w:bottom w:val="single" w:sz="6" w:space="1" w:color="2E4057"/>
        </w:pBdr>
      </w:pPr>
      <w:r>
        <w:rPr>
          <w:rFonts w:ascii="Arial" w:hAnsi="Arial"/>
          <w:b/>
          <w:i w:val="0"/>
          <w:color w:val="2E4057"/>
          <w:sz w:val="26"/>
        </w:rPr>
        <w:t>Campaign Overview</w:t>
      </w:r>
    </w:p>
    <w:p>
      <w:pPr>
        <w:spacing w:after="120"/>
      </w:pPr>
      <w:r>
        <w:rPr>
          <w:rFonts w:ascii="Arial" w:hAnsi="Arial"/>
          <w:b w:val="0"/>
          <w:i w:val="0"/>
          <w:color w:val="222222"/>
          <w:sz w:val="22"/>
        </w:rPr>
        <w:t>The campaign aims to increase the email conversion rate to 8% and achieve a minimum click-through rate of 5%. Targeting professionals aged 25–45 in urban India, the focus is on existing and prospective customers who have engaged with emails or shown interest through website behavior or prior purchases.</w:t>
      </w:r>
    </w:p>
    <w:p>
      <w:pPr>
        <w:spacing w:after="120"/>
      </w:pPr>
    </w:p>
    <w:p>
      <w:pPr>
        <w:spacing w:before="240" w:after="100"/>
        <w:pBdr>
          <w:bottom w:val="single" w:sz="6" w:space="1" w:color="2E4057"/>
        </w:pBdr>
      </w:pPr>
      <w:r>
        <w:rPr>
          <w:rFonts w:ascii="Arial" w:hAnsi="Arial"/>
          <w:b/>
          <w:i w:val="0"/>
          <w:color w:val="2E4057"/>
          <w:sz w:val="26"/>
        </w:rPr>
        <w:t>Campaign Objectives</w:t>
      </w:r>
    </w:p>
    <w:p>
      <w:pPr>
        <w:spacing w:after="120"/>
      </w:pPr>
      <w:r>
        <w:rPr>
          <w:rFonts w:ascii="Arial" w:hAnsi="Arial"/>
          <w:b w:val="0"/>
          <w:i w:val="0"/>
          <w:color w:val="222222"/>
          <w:sz w:val="22"/>
        </w:rPr>
        <w:t>The campaign aims to achieve a minimum 22% open rate, 5% click-through rate, and 8% conversion rate. Bounce rate should stay below 2% and unsubscribe rate under 1%. Targeting active users and decision-makers, objectives must be met within 30 days by April 30, 2026.</w:t>
      </w:r>
    </w:p>
    <w:p>
      <w:pPr>
        <w:spacing w:after="120"/>
      </w:pPr>
    </w:p>
    <w:p>
      <w:pPr>
        <w:spacing w:before="240" w:after="100"/>
        <w:pBdr>
          <w:bottom w:val="single" w:sz="6" w:space="1" w:color="2E4057"/>
        </w:pBdr>
      </w:pPr>
      <w:r>
        <w:rPr>
          <w:rFonts w:ascii="Arial" w:hAnsi="Arial"/>
          <w:b/>
          <w:i w:val="0"/>
          <w:color w:val="2E4057"/>
          <w:sz w:val="26"/>
        </w:rPr>
        <w:t>Target Audience Segmentation</w:t>
      </w:r>
    </w:p>
    <w:p>
      <w:pPr>
        <w:spacing w:after="120"/>
      </w:pPr>
      <w:r>
        <w:rPr>
          <w:rFonts w:ascii="Arial" w:hAnsi="Arial"/>
          <w:b w:val="0"/>
          <w:i w:val="0"/>
          <w:color w:val="222222"/>
          <w:sz w:val="22"/>
        </w:rPr>
        <w:t>Target audience segments include 35% active users engaged within 90 days, 25% high-value customers with premium subscriptions, 20% prospective leads yet to convert, 10% mid to senior-level technology professionals, and 10% inactive users for re-engagement. Exclude unsubscribed, do-not-contact, invalid, internal, and support-escalated users.</w:t>
      </w:r>
    </w:p>
    <w:p>
      <w:pPr>
        <w:spacing w:after="120"/>
      </w:pPr>
    </w:p>
    <w:p>
      <w:pPr>
        <w:spacing w:before="240" w:after="100"/>
        <w:pBdr>
          <w:bottom w:val="single" w:sz="6" w:space="1" w:color="2E4057"/>
        </w:pBdr>
      </w:pPr>
      <w:r>
        <w:rPr>
          <w:rFonts w:ascii="Arial" w:hAnsi="Arial"/>
          <w:b/>
          <w:i w:val="0"/>
          <w:color w:val="2E4057"/>
          <w:sz w:val="26"/>
        </w:rPr>
        <w:t>Email List Strategy</w:t>
      </w:r>
    </w:p>
    <w:p>
      <w:pPr>
        <w:spacing w:after="120"/>
      </w:pPr>
      <w:r>
        <w:rPr>
          <w:rFonts w:ascii="Arial" w:hAnsi="Arial"/>
          <w:b w:val="0"/>
          <w:i w:val="0"/>
          <w:color w:val="222222"/>
          <w:sz w:val="22"/>
        </w:rPr>
        <w:t>Email list segmentation uses demographic, behavioral, transactional, engagement status, and lead source criteria to target campaigns effectively. The list is expected to grow from 25,000 to 40,000 subscribers in 12 months. Compliance is ensured through opt-in, consent records, unsubscribe options, data cleansing, and regulatory adherence.</w:t>
      </w:r>
    </w:p>
    <w:p>
      <w:pPr>
        <w:spacing w:after="120"/>
      </w:pPr>
    </w:p>
    <w:p>
      <w:pPr>
        <w:spacing w:before="240" w:after="100"/>
        <w:pBdr>
          <w:bottom w:val="single" w:sz="6" w:space="1" w:color="2E4057"/>
        </w:pBdr>
      </w:pPr>
      <w:r>
        <w:rPr>
          <w:rFonts w:ascii="Arial" w:hAnsi="Arial"/>
          <w:b/>
          <w:i w:val="0"/>
          <w:color w:val="2E4057"/>
          <w:sz w:val="26"/>
        </w:rPr>
        <w:t>Email Content Themes</w:t>
      </w:r>
    </w:p>
    <w:p>
      <w:pPr>
        <w:spacing w:after="120"/>
      </w:pPr>
      <w:r>
        <w:rPr>
          <w:rFonts w:ascii="Arial" w:hAnsi="Arial"/>
          <w:b w:val="0"/>
          <w:i w:val="0"/>
          <w:color w:val="222222"/>
          <w:sz w:val="22"/>
        </w:rPr>
        <w:t>Email campaigns focus on five themes aligned with target segments and brand tone.</w:t>
      </w:r>
    </w:p>
    <w:p>
      <w:pPr>
        <w:spacing w:after="80"/>
      </w:pPr>
    </w:p>
    <w:p>
      <w:pPr>
        <w:spacing w:after="80"/>
        <w:ind w:left="360"/>
      </w:pPr>
      <w:r>
        <w:rPr>
          <w:rFonts w:ascii="Arial" w:hAnsi="Arial"/>
          <w:b w:val="0"/>
          <w:i w:val="0"/>
          <w:color w:val="222222"/>
          <w:sz w:val="22"/>
        </w:rPr>
        <w:t>1. Product updates for active users and high-value customers</w:t>
      </w:r>
    </w:p>
    <w:p>
      <w:pPr>
        <w:spacing w:after="80"/>
        <w:ind w:left="360"/>
      </w:pPr>
      <w:r>
        <w:rPr>
          <w:rFonts w:ascii="Arial" w:hAnsi="Arial"/>
          <w:b w:val="0"/>
          <w:i w:val="0"/>
          <w:color w:val="222222"/>
          <w:sz w:val="22"/>
        </w:rPr>
        <w:t>2. Educational content for industry professionals and prospects</w:t>
      </w:r>
    </w:p>
    <w:p>
      <w:pPr>
        <w:spacing w:after="80"/>
        <w:ind w:left="360"/>
      </w:pPr>
      <w:r>
        <w:rPr>
          <w:rFonts w:ascii="Arial" w:hAnsi="Arial"/>
          <w:b w:val="0"/>
          <w:i w:val="0"/>
          <w:color w:val="222222"/>
          <w:sz w:val="22"/>
        </w:rPr>
        <w:t>3. Promotional offers targeting prospects and inactive users</w:t>
      </w:r>
    </w:p>
    <w:p>
      <w:pPr>
        <w:spacing w:after="80"/>
        <w:ind w:left="360"/>
      </w:pPr>
      <w:r>
        <w:rPr>
          <w:rFonts w:ascii="Arial" w:hAnsi="Arial"/>
          <w:b w:val="0"/>
          <w:i w:val="0"/>
          <w:color w:val="222222"/>
          <w:sz w:val="22"/>
        </w:rPr>
        <w:t>4. Customer success stories for decision-makers and key clients</w:t>
      </w:r>
    </w:p>
    <w:p>
      <w:pPr>
        <w:spacing w:after="80"/>
        <w:ind w:left="360"/>
      </w:pPr>
      <w:r>
        <w:rPr>
          <w:rFonts w:ascii="Arial" w:hAnsi="Arial"/>
          <w:b w:val="0"/>
          <w:i w:val="0"/>
          <w:color w:val="222222"/>
          <w:sz w:val="22"/>
        </w:rPr>
        <w:t>5. Re-engagement content for low-engagement segments</w:t>
      </w:r>
    </w:p>
    <w:p>
      <w:pPr>
        <w:spacing w:after="120"/>
      </w:pPr>
    </w:p>
    <w:p>
      <w:pPr>
        <w:spacing w:before="240" w:after="100"/>
        <w:pBdr>
          <w:bottom w:val="single" w:sz="6" w:space="1" w:color="2E4057"/>
        </w:pBdr>
      </w:pPr>
      <w:r>
        <w:rPr>
          <w:rFonts w:ascii="Arial" w:hAnsi="Arial"/>
          <w:b/>
          <w:i w:val="0"/>
          <w:color w:val="2E4057"/>
          <w:sz w:val="26"/>
        </w:rPr>
        <w:t>Email Design Guidelines</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Campaign Specialist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Creative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Email Scheduling Plan</w:t>
      </w:r>
    </w:p>
    <w:p>
      <w:pPr>
        <w:spacing w:after="120"/>
      </w:pPr>
      <w:r>
        <w:rPr>
          <w:rFonts w:ascii="Arial" w:hAnsi="Arial"/>
          <w:b w:val="0"/>
          <w:i w:val="0"/>
          <w:color w:val="222222"/>
          <w:sz w:val="22"/>
        </w:rPr>
        <w:t>Emails are scheduled weekly, totaling five sends during the campaign.</w:t>
      </w:r>
    </w:p>
    <w:p>
      <w:pPr>
        <w:spacing w:after="80"/>
      </w:pPr>
    </w:p>
    <w:p>
      <w:pPr>
        <w:spacing w:after="80"/>
        <w:ind w:left="360"/>
      </w:pPr>
      <w:r>
        <w:rPr>
          <w:rFonts w:ascii="Arial" w:hAnsi="Arial"/>
          <w:b w:val="0"/>
          <w:i w:val="0"/>
          <w:color w:val="222222"/>
          <w:sz w:val="22"/>
        </w:rPr>
        <w:t>1. April 2, 2026 at 10:00 AM IST</w:t>
      </w:r>
    </w:p>
    <w:p>
      <w:pPr>
        <w:spacing w:after="80"/>
        <w:ind w:left="360"/>
      </w:pPr>
      <w:r>
        <w:rPr>
          <w:rFonts w:ascii="Arial" w:hAnsi="Arial"/>
          <w:b w:val="0"/>
          <w:i w:val="0"/>
          <w:color w:val="222222"/>
          <w:sz w:val="22"/>
        </w:rPr>
        <w:t>2. April 7, 2026 at 02:00 PM IST</w:t>
      </w:r>
    </w:p>
    <w:p>
      <w:pPr>
        <w:spacing w:after="80"/>
        <w:ind w:left="360"/>
      </w:pPr>
      <w:r>
        <w:rPr>
          <w:rFonts w:ascii="Arial" w:hAnsi="Arial"/>
          <w:b w:val="0"/>
          <w:i w:val="0"/>
          <w:color w:val="222222"/>
          <w:sz w:val="22"/>
        </w:rPr>
        <w:t>3. April 12, 2026 at 11:00 AM IST</w:t>
      </w:r>
    </w:p>
    <w:p>
      <w:pPr>
        <w:spacing w:after="80"/>
        <w:ind w:left="360"/>
      </w:pPr>
      <w:r>
        <w:rPr>
          <w:rFonts w:ascii="Arial" w:hAnsi="Arial"/>
          <w:b w:val="0"/>
          <w:i w:val="0"/>
          <w:color w:val="222222"/>
          <w:sz w:val="22"/>
        </w:rPr>
        <w:t>4. April 18, 2026 at 04:00 PM IST</w:t>
      </w:r>
    </w:p>
    <w:p>
      <w:pPr>
        <w:spacing w:after="80"/>
        <w:ind w:left="360"/>
      </w:pPr>
      <w:r>
        <w:rPr>
          <w:rFonts w:ascii="Arial" w:hAnsi="Arial"/>
          <w:b w:val="0"/>
          <w:i w:val="0"/>
          <w:color w:val="222222"/>
          <w:sz w:val="22"/>
        </w:rPr>
        <w:t>5. April 25, 2026 at 10:30 AM IST</w:t>
      </w:r>
    </w:p>
    <w:p>
      <w:pPr>
        <w:spacing w:after="120"/>
      </w:pPr>
    </w:p>
    <w:p>
      <w:pPr>
        <w:spacing w:before="240" w:after="100"/>
        <w:pBdr>
          <w:bottom w:val="single" w:sz="6" w:space="1" w:color="2E4057"/>
        </w:pBdr>
      </w:pPr>
      <w:r>
        <w:rPr>
          <w:rFonts w:ascii="Arial" w:hAnsi="Arial"/>
          <w:b/>
          <w:i w:val="0"/>
          <w:color w:val="2E4057"/>
          <w:sz w:val="26"/>
        </w:rPr>
        <w:t>Automation Workflow</w:t>
      </w:r>
    </w:p>
    <w:p>
      <w:pPr>
        <w:spacing w:after="120"/>
      </w:pPr>
      <w:r>
        <w:rPr>
          <w:rFonts w:ascii="Arial" w:hAnsi="Arial"/>
          <w:b w:val="0"/>
          <w:i w:val="0"/>
          <w:color w:val="222222"/>
          <w:sz w:val="22"/>
        </w:rPr>
        <w:t>The automation workflow for the email campaign involves defining objectives, creating and approving content, segmenting the audience, configuring automation, executing the campaign, monitoring performance, optimizing based on results, and archiving data.</w:t>
      </w:r>
    </w:p>
    <w:p>
      <w:pPr>
        <w:spacing w:after="80"/>
      </w:pPr>
    </w:p>
    <w:p>
      <w:pPr>
        <w:spacing w:before="160" w:after="80"/>
        <w:jc w:val="center"/>
      </w:pPr>
      <w:r>
        <w:drawing>
          <wp:inline xmlns:a="http://schemas.openxmlformats.org/drawingml/2006/main" xmlns:pic="http://schemas.openxmlformats.org/drawingml/2006/picture">
            <wp:extent cx="5669280" cy="4342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34218"/>
                    </a:xfrm>
                    <a:prstGeom prst="rect"/>
                  </pic:spPr>
                </pic:pic>
              </a:graphicData>
            </a:graphic>
          </wp:inline>
        </w:drawing>
      </w:r>
    </w:p>
    <w:p>
      <w:pPr>
        <w:spacing w:after="200"/>
        <w:jc w:val="center"/>
      </w:pPr>
      <w:r>
        <w:rPr>
          <w:rFonts w:ascii="Arial" w:hAnsi="Arial"/>
          <w:b w:val="0"/>
          <w:i/>
          <w:color w:val="888888"/>
          <w:sz w:val="16"/>
        </w:rPr>
        <w:t>Figure: Automation Workflow — Process Flow Diagram</w:t>
      </w:r>
    </w:p>
    <w:p>
      <w:pPr>
        <w:spacing w:after="80"/>
      </w:pPr>
    </w:p>
    <w:p>
      <w:pPr>
        <w:spacing w:after="120"/>
      </w:pPr>
    </w:p>
    <w:p>
      <w:pPr>
        <w:spacing w:before="240" w:after="100"/>
        <w:pBdr>
          <w:bottom w:val="single" w:sz="6" w:space="1" w:color="2E4057"/>
        </w:pBdr>
      </w:pPr>
      <w:r>
        <w:rPr>
          <w:rFonts w:ascii="Arial" w:hAnsi="Arial"/>
          <w:b/>
          <w:i w:val="0"/>
          <w:color w:val="2E4057"/>
          <w:sz w:val="26"/>
        </w:rPr>
        <w:t>Personalization Strategy</w:t>
      </w:r>
    </w:p>
    <w:p>
      <w:pPr>
        <w:spacing w:after="120"/>
      </w:pPr>
      <w:r>
        <w:rPr>
          <w:rFonts w:ascii="Arial" w:hAnsi="Arial"/>
          <w:b w:val="0"/>
          <w:i w:val="0"/>
          <w:color w:val="222222"/>
          <w:sz w:val="22"/>
        </w:rPr>
        <w:t>Personalization leverages demographic, behavioral, transactional, account, and lead source data to tailor content.</w:t>
      </w:r>
    </w:p>
    <w:p>
      <w:pPr>
        <w:spacing w:after="80"/>
      </w:pPr>
    </w:p>
    <w:p>
      <w:pPr>
        <w:spacing w:after="120"/>
      </w:pPr>
      <w:r>
        <w:rPr>
          <w:rFonts w:ascii="Arial" w:hAnsi="Arial"/>
          <w:b w:val="0"/>
          <w:i w:val="0"/>
          <w:color w:val="222222"/>
          <w:sz w:val="22"/>
        </w:rPr>
        <w:t>Techniques include dynamic content blocks, personalization tokens, behavior-triggered emails, A/B testing, and marketing automation tools to optimize messaging, engagement, and conversion across segmented audience groups for enhanced campaign performance.</w:t>
      </w:r>
    </w:p>
    <w:p>
      <w:pPr>
        <w:spacing w:after="120"/>
      </w:pPr>
    </w:p>
    <w:p>
      <w:pPr>
        <w:spacing w:before="240" w:after="100"/>
        <w:pBdr>
          <w:bottom w:val="single" w:sz="6" w:space="1" w:color="2E4057"/>
        </w:pBdr>
      </w:pPr>
      <w:r>
        <w:rPr>
          <w:rFonts w:ascii="Arial" w:hAnsi="Arial"/>
          <w:b/>
          <w:i w:val="0"/>
          <w:color w:val="2E4057"/>
          <w:sz w:val="26"/>
        </w:rPr>
        <w:t>Compliance and Opt-In Policies</w:t>
      </w:r>
    </w:p>
    <w:p>
      <w:pPr>
        <w:spacing w:after="120"/>
      </w:pPr>
      <w:r>
        <w:rPr>
          <w:rFonts w:ascii="Arial" w:hAnsi="Arial"/>
          <w:b w:val="0"/>
          <w:i w:val="0"/>
          <w:color w:val="222222"/>
          <w:sz w:val="22"/>
        </w:rPr>
        <w:t>Email campaigns at turabit adhere to the latest compliance standards, including GDPR and India’s IT Act. All recipients must provide explicit opt-in consent before receiving communications. The Marketing Compliance Officer oversees adherence, ensuring policies are updated regularly and campaigns remain lawful and respectful of user preferences.</w:t>
      </w:r>
    </w:p>
    <w:p>
      <w:pPr>
        <w:spacing w:after="120"/>
      </w:pPr>
    </w:p>
    <w:p>
      <w:pPr>
        <w:spacing w:before="240" w:after="100"/>
        <w:pBdr>
          <w:bottom w:val="single" w:sz="6" w:space="1" w:color="2E4057"/>
        </w:pBdr>
      </w:pPr>
      <w:r>
        <w:rPr>
          <w:rFonts w:ascii="Arial" w:hAnsi="Arial"/>
          <w:b/>
          <w:i w:val="0"/>
          <w:color w:val="2E4057"/>
          <w:sz w:val="26"/>
        </w:rPr>
        <w:t>Performance Metrics and KPIs</w:t>
      </w:r>
    </w:p>
    <w:p>
      <w:pPr>
        <w:spacing w:after="120"/>
      </w:pPr>
      <w:r>
        <w:rPr>
          <w:rFonts w:ascii="Arial" w:hAnsi="Arial"/>
          <w:b w:val="0"/>
          <w:i w:val="0"/>
          <w:color w:val="222222"/>
          <w:sz w:val="22"/>
        </w:rPr>
        <w:t>The following table summarizes the key performance metrics and KPIs for the email campaigns conducted by turabit's Marketing department in April 2026, providing targets, actual results, and measurement sources.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Metric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Value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Actual Value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Measurement Period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Data Source</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Open Rate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Marketing Platform</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Click-Through Rate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Marketing Platform</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Conversion Rate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CRM System</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Bounce Rate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&lt;2%</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Marketing Platform</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Unsubscribe Rate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&lt;1%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0.7%</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Marketing Platform</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Revenue per Email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April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System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Campaign Monitoring and Optimization</w:t>
      </w:r>
    </w:p>
    <w:p>
      <w:pPr>
        <w:spacing w:after="120"/>
      </w:pPr>
      <w:r>
        <w:rPr>
          <w:rFonts w:ascii="Arial" w:hAnsi="Arial"/>
          <w:b w:val="0"/>
          <w:i w:val="0"/>
          <w:color w:val="222222"/>
          <w:sz w:val="22"/>
        </w:rPr>
        <w:t>Campaign performance will be monitored through open rates, click-through rates, conversion rates, and unsubscribe rates. The Marketing Analytics team will analyze data and recommend optimizations. Campaign reviews will occur biweekly, enabling timely adjustments to improve engagement and achieve strategic goals effectively.</w:t>
      </w:r>
    </w:p>
    <w:p>
      <w:pPr>
        <w:spacing w:after="400"/>
      </w:pPr>
    </w:p>
    <w:p>
      <w:pPr>
        <w:jc w:val="center"/>
      </w:pPr>
      <w:r>
        <w:rPr>
          <w:rFonts w:ascii="Arial" w:hAnsi="Arial"/>
          <w:b w:val="0"/>
          <w:i w:val="0"/>
          <w:color w:val="888888"/>
          <w:sz w:val="16"/>
        </w:rPr>
        <w:t>Email Campaign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Email Campaign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