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Influencer Agreement</w:t>
      </w:r>
    </w:p>
    <w:p>
      <w:pPr>
        <w:spacing w:after="120"/>
      </w:pPr>
      <w:r>
        <w:rPr>
          <w:rFonts w:ascii="Arial" w:hAnsi="Arial"/>
          <w:b w:val="0"/>
          <w:i w:val="0"/>
          <w:color w:val="888888"/>
          <w:sz w:val="20"/>
        </w:rPr>
        <w:t>turabit  ·  Marketing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Agreement Title and Date</w:t>
      </w:r>
    </w:p>
    <w:p>
      <w:pPr>
        <w:spacing w:after="120"/>
      </w:pPr>
      <w:r>
        <w:rPr>
          <w:rFonts w:ascii="Arial" w:hAnsi="Arial"/>
          <w:b w:val="0"/>
          <w:i w:val="0"/>
          <w:color w:val="222222"/>
          <w:sz w:val="22"/>
        </w:rPr>
        <w:t>The parties hereby enter into the Influencer Marketing and Collaboration Agreement effective as of 01 April 2026. This agreement governs the terms and conditions of the collaboration between turabit’s Marketing Department and the appointed influencer within the Technology and SaaS industry in India.</w:t>
      </w:r>
    </w:p>
    <w:p>
      <w:pPr>
        <w:spacing w:after="120"/>
      </w:pPr>
    </w:p>
    <w:p>
      <w:pPr>
        <w:spacing w:before="240" w:after="100"/>
        <w:pBdr>
          <w:bottom w:val="single" w:sz="6" w:space="1" w:color="2E4057"/>
        </w:pBdr>
      </w:pPr>
      <w:r>
        <w:rPr>
          <w:rFonts w:ascii="Arial" w:hAnsi="Arial"/>
          <w:b/>
          <w:i w:val="0"/>
          <w:color w:val="2E4057"/>
          <w:sz w:val="26"/>
        </w:rPr>
        <w:t>Parties to the Agreement</w:t>
      </w:r>
    </w:p>
    <w:p>
      <w:pPr>
        <w:spacing w:after="120"/>
      </w:pPr>
      <w:r>
        <w:rPr>
          <w:rFonts w:ascii="Arial" w:hAnsi="Arial"/>
          <w:b w:val="0"/>
          <w:i w:val="0"/>
          <w:color w:val="222222"/>
          <w:sz w:val="22"/>
        </w:rPr>
        <w:t>This Agreement is made between ABC Digital Creators Pvt. Ltd., located at 402, Skyline Business Park, Andheri East, Mumbai, Maharashtra, India – 400069, represented by its Authorized Representative, and Turabit Technologies Pvt. Ltd.</w:t>
      </w:r>
    </w:p>
    <w:p>
      <w:pPr>
        <w:spacing w:after="120"/>
      </w:pPr>
    </w:p>
    <w:p>
      <w:pPr>
        <w:spacing w:before="240" w:after="100"/>
        <w:pBdr>
          <w:bottom w:val="single" w:sz="6" w:space="1" w:color="2E4057"/>
        </w:pBdr>
      </w:pPr>
      <w:r>
        <w:rPr>
          <w:rFonts w:ascii="Arial" w:hAnsi="Arial"/>
          <w:b/>
          <w:i w:val="0"/>
          <w:color w:val="2E4057"/>
          <w:sz w:val="26"/>
        </w:rPr>
        <w:t>Purpose of Collaboration</w:t>
      </w:r>
    </w:p>
    <w:p>
      <w:pPr>
        <w:spacing w:after="120"/>
      </w:pPr>
      <w:r>
        <w:rPr>
          <w:rFonts w:ascii="Arial" w:hAnsi="Arial"/>
          <w:b w:val="0"/>
          <w:i w:val="0"/>
          <w:color w:val="222222"/>
          <w:sz w:val="22"/>
        </w:rPr>
        <w:t>turabit aims to increase brand awareness, drive qualified traffic, generate high-quality leads, and enhance credibility through influencer endorsement. The focus includes promoting core SaaS platform, AI-driven tools, enterprise productivity features, and new premium subscription plans to expand audience engagement.</w:t>
      </w:r>
    </w:p>
    <w:p>
      <w:pPr>
        <w:spacing w:after="120"/>
      </w:pPr>
    </w:p>
    <w:p>
      <w:pPr>
        <w:spacing w:before="240" w:after="100"/>
        <w:pBdr>
          <w:bottom w:val="single" w:sz="6" w:space="1" w:color="2E4057"/>
        </w:pBdr>
      </w:pPr>
      <w:r>
        <w:rPr>
          <w:rFonts w:ascii="Arial" w:hAnsi="Arial"/>
          <w:b/>
          <w:i w:val="0"/>
          <w:color w:val="2E4057"/>
          <w:sz w:val="26"/>
        </w:rPr>
        <w:t>Scope of Influencer Services</w:t>
      </w:r>
    </w:p>
    <w:p>
      <w:pPr>
        <w:spacing w:after="120"/>
      </w:pPr>
      <w:r>
        <w:rPr>
          <w:rFonts w:ascii="Arial" w:hAnsi="Arial"/>
          <w:b w:val="0"/>
          <w:i w:val="0"/>
          <w:color w:val="222222"/>
          <w:sz w:val="22"/>
        </w:rPr>
        <w:t>Influencer shall deliver sponsored posts, story mentions, product review videos, live sessions, and optional blog content per agreed timelines. Promotion targets India’s urban and tier-1 audiences via Instagram, YouTube, and LinkedIn, adhering to platform guidelines and geographic restrictions.</w:t>
      </w:r>
    </w:p>
    <w:p>
      <w:pPr>
        <w:spacing w:after="120"/>
      </w:pPr>
    </w:p>
    <w:p>
      <w:pPr>
        <w:spacing w:before="240" w:after="100"/>
        <w:pBdr>
          <w:bottom w:val="single" w:sz="6" w:space="1" w:color="2E4057"/>
        </w:pBdr>
      </w:pPr>
      <w:r>
        <w:rPr>
          <w:rFonts w:ascii="Arial" w:hAnsi="Arial"/>
          <w:b/>
          <w:i w:val="0"/>
          <w:color w:val="2E4057"/>
          <w:sz w:val="26"/>
        </w:rPr>
        <w:t>Content Deliverables</w:t>
      </w:r>
    </w:p>
    <w:p>
      <w:pPr>
        <w:spacing w:after="120"/>
      </w:pPr>
      <w:r>
        <w:rPr>
          <w:rFonts w:ascii="Arial" w:hAnsi="Arial"/>
          <w:b w:val="0"/>
          <w:i w:val="0"/>
          <w:color w:val="222222"/>
          <w:sz w:val="22"/>
        </w:rPr>
        <w:t>The influencer shall deliver 3 Instagram feed posts, 5 stories with link integration, 2 video reels, 1 YouTube video if applicable, and optional cross-platform posts. Content must meet engagement, reach, brand guidelines, and be approved 48 hours before publishing.</w:t>
      </w:r>
    </w:p>
    <w:p>
      <w:pPr>
        <w:spacing w:after="120"/>
      </w:pPr>
    </w:p>
    <w:p>
      <w:pPr>
        <w:spacing w:before="240" w:after="100"/>
        <w:pBdr>
          <w:bottom w:val="single" w:sz="6" w:space="1" w:color="2E4057"/>
        </w:pBdr>
      </w:pPr>
      <w:r>
        <w:rPr>
          <w:rFonts w:ascii="Arial" w:hAnsi="Arial"/>
          <w:b/>
          <w:i w:val="0"/>
          <w:color w:val="2E4057"/>
          <w:sz w:val="26"/>
        </w:rPr>
        <w:t>Content Guidelines and Brand Requirements</w:t>
      </w:r>
    </w:p>
    <w:p>
      <w:pPr>
        <w:spacing w:after="120"/>
      </w:pPr>
      <w:r>
        <w:rPr>
          <w:rFonts w:ascii="Arial" w:hAnsi="Arial"/>
          <w:b w:val="0"/>
          <w:i w:val="0"/>
          <w:color w:val="222222"/>
          <w:sz w:val="22"/>
        </w:rPr>
        <w:t>Influencers must use turabit’s official logos, color palette, and approved taglines only. Content requires prior submission for review and approval within five business days. Avoid controversial, offensive, or misleading themes to maintain brand integrity and compliance with company values.</w:t>
      </w:r>
    </w:p>
    <w:p>
      <w:pPr>
        <w:spacing w:after="120"/>
      </w:pPr>
    </w:p>
    <w:p>
      <w:pPr>
        <w:spacing w:before="240" w:after="100"/>
        <w:pBdr>
          <w:bottom w:val="single" w:sz="6" w:space="1" w:color="2E4057"/>
        </w:pBdr>
      </w:pPr>
      <w:r>
        <w:rPr>
          <w:rFonts w:ascii="Arial" w:hAnsi="Arial"/>
          <w:b/>
          <w:i w:val="0"/>
          <w:color w:val="2E4057"/>
          <w:sz w:val="26"/>
        </w:rPr>
        <w:t>Posting Schedule and Campaign Duration</w:t>
      </w:r>
    </w:p>
    <w:p>
      <w:pPr>
        <w:spacing w:after="120"/>
      </w:pPr>
      <w:r>
        <w:rPr>
          <w:rFonts w:ascii="Arial" w:hAnsi="Arial"/>
          <w:b w:val="0"/>
          <w:i w:val="0"/>
          <w:color w:val="222222"/>
          <w:sz w:val="22"/>
        </w:rPr>
        <w:t>The following table outlines the detailed posting schedule for each influencer alongside the campaign durations and specific posting requirements to ensure alignment with turabit's marketing objectives.</w:t>
      </w:r>
    </w:p>
    <w:p>
      <w:pPr>
        <w:spacing w:after="80"/>
      </w:pPr>
    </w:p>
    <w:tbl>
      <w:tblPr>
        <w:tblW w:type="auto" w:w="0"/>
        <w:jc w:val="lef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Influencer Name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Post Type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Scheduled Date &amp; Time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Content Theme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Campaign Name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Campaign Start 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Campaign End Date</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Total Posts Required</w:t>
            </w:r>
          </w:p>
        </w:tc>
        <w:tc>
          <w:tcPr>
            <w:tcW w:type="dxa" w:w="10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Posting Frequency / Timing Requirements</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Aisha Patel</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Instagram Story</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2026-04-02 10:00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Teaser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Spring Launch Campaign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2–3 posts per week, peak hours (18:00–21:00)</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Aisha Patel</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Instagram Reel</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2026-04-05 18:30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Demo</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Spring Launch Campaign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8</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2–3 posts per week, peak hours (18:00–21:00)</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Rohan Mehta</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Twitter Post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2026-04-03 12:00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Brand Awareness</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Spring Launch Campaign</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2026-04-30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Alternate days posting, midday (12:00–14:00)</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Rohan Mehta</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Instagram Post</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2026-04-07 19:00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Experience</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Spring Launch Campaign</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2026-04-30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6</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Alternate days posting, midday (12:00–14:00)</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Shah</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YouTube Video</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2026-04-10 17:00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In-depth Review</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Awareness Push</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2026-05-20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 long-form content, weekends preferred</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Neha Shah</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Instagram Story</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2026-04-12 11:00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Behind the Scenes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Awareness Push</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2026-05-20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5</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Weekly long-form content, weekends preferred</w:t>
            </w:r>
          </w:p>
        </w:tc>
      </w:tr>
      <w:tr>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Arjun Desai</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Facebook Post</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2026-04-04 15:00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Promotional Offer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Engagement Booster</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2026-05-21</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2026-06-10</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w:t>
            </w:r>
          </w:p>
        </w:tc>
        <w:tc>
          <w:tcPr>
            <w:tcW w:type="dxa" w:w="10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 short-form content, evening slots</w:t>
            </w:r>
          </w:p>
        </w:tc>
      </w:tr>
      <w:tr>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Arjun Desai</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Instagram Reel</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2026-04-09 20:00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Feature Highlights</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Engagement Booster</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2026-05-21</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2026-06-10</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7</w:t>
            </w:r>
          </w:p>
        </w:tc>
        <w:tc>
          <w:tcPr>
            <w:tcW w:type="dxa" w:w="10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Daily short-form content, evening slots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Compensation and Payment Terms</w:t>
      </w:r>
    </w:p>
    <w:p>
      <w:pPr>
        <w:spacing w:after="120"/>
      </w:pPr>
      <w:r>
        <w:rPr>
          <w:rFonts w:ascii="Arial" w:hAnsi="Arial"/>
          <w:b w:val="0"/>
          <w:i w:val="0"/>
          <w:color w:val="222222"/>
          <w:sz w:val="22"/>
        </w:rPr>
        <w:t>Compensation includes fixed fees per deliverable, performance bonuses based on engagement and reach, and commissions on sales via referral links. Payments occur 30% advance, 40% post-initial approval, 30% final, via bank transfer within 7–10 business days. Taxes and penalties apply.</w:t>
      </w:r>
    </w:p>
    <w:p>
      <w:pPr>
        <w:spacing w:after="120"/>
      </w:pPr>
    </w:p>
    <w:p>
      <w:pPr>
        <w:spacing w:before="240" w:after="100"/>
        <w:pBdr>
          <w:bottom w:val="single" w:sz="6" w:space="1" w:color="2E4057"/>
        </w:pBdr>
      </w:pPr>
      <w:r>
        <w:rPr>
          <w:rFonts w:ascii="Arial" w:hAnsi="Arial"/>
          <w:b/>
          <w:i w:val="0"/>
          <w:color w:val="2E4057"/>
          <w:sz w:val="26"/>
        </w:rPr>
        <w:t>Performance Expectations</w:t>
      </w:r>
    </w:p>
    <w:p>
      <w:pPr>
        <w:spacing w:after="120"/>
      </w:pPr>
      <w:r>
        <w:rPr>
          <w:rFonts w:ascii="Arial" w:hAnsi="Arial"/>
          <w:b w:val="0"/>
          <w:i w:val="0"/>
          <w:color w:val="222222"/>
          <w:sz w:val="22"/>
        </w:rPr>
        <w:t>The influencer must deliver 8–10 posts per campaign with 3%–5% engagement, 10,000–20,000 views, 5% follower growth, and meet CTR benchmarks. Content must comply with brand standards. Penalties apply for missed deadlines, non-compliance, or repeated breaches.</w:t>
      </w:r>
    </w:p>
    <w:p>
      <w:pPr>
        <w:spacing w:after="120"/>
      </w:pPr>
    </w:p>
    <w:p>
      <w:pPr>
        <w:spacing w:before="240" w:after="100"/>
        <w:pBdr>
          <w:bottom w:val="single" w:sz="6" w:space="1" w:color="2E4057"/>
        </w:pBdr>
      </w:pPr>
      <w:r>
        <w:rPr>
          <w:rFonts w:ascii="Arial" w:hAnsi="Arial"/>
          <w:b/>
          <w:i w:val="0"/>
          <w:color w:val="2E4057"/>
          <w:sz w:val="26"/>
        </w:rPr>
        <w:t>Disclosure and Advertising Compliance</w:t>
      </w:r>
    </w:p>
    <w:p>
      <w:pPr>
        <w:spacing w:after="120"/>
      </w:pPr>
      <w:r>
        <w:rPr>
          <w:rFonts w:ascii="Arial" w:hAnsi="Arial"/>
          <w:b w:val="0"/>
          <w:i w:val="0"/>
          <w:color w:val="222222"/>
          <w:sz w:val="22"/>
        </w:rPr>
        <w:t>Influencers must clearly disclose partnerships using terms like "ad," "sponsored," or "paid promotion" per Indian regulations and turabit policies. All claims must be truthful, substantiated, and avoid misleading information. Unauthorized use of turabit trademarks or logos is prohibited without prior approval.</w:t>
      </w:r>
    </w:p>
    <w:p>
      <w:pPr>
        <w:spacing w:after="120"/>
      </w:pPr>
    </w:p>
    <w:p>
      <w:pPr>
        <w:spacing w:before="240" w:after="100"/>
        <w:pBdr>
          <w:bottom w:val="single" w:sz="6" w:space="1" w:color="2E4057"/>
        </w:pBdr>
      </w:pPr>
      <w:r>
        <w:rPr>
          <w:rFonts w:ascii="Arial" w:hAnsi="Arial"/>
          <w:b/>
          <w:i w:val="0"/>
          <w:color w:val="2E4057"/>
          <w:sz w:val="26"/>
        </w:rPr>
        <w:t>Confidentiality Clause</w:t>
      </w:r>
    </w:p>
    <w:p>
      <w:pPr>
        <w:spacing w:after="120"/>
      </w:pPr>
      <w:r>
        <w:rPr>
          <w:rFonts w:ascii="Arial" w:hAnsi="Arial"/>
          <w:b w:val="0"/>
          <w:i w:val="0"/>
          <w:color w:val="222222"/>
          <w:sz w:val="22"/>
        </w:rPr>
        <w:t>The Influencer shall maintain the confidentiality of all proprietary, technical, marketing, and business information received during the agreement. Confidentiality obligations shall survive for two years post-termination. Disclosures required by law or with prior written consent are permitted exceptions.</w:t>
      </w:r>
    </w:p>
    <w:p>
      <w:pPr>
        <w:spacing w:after="120"/>
      </w:pPr>
    </w:p>
    <w:p>
      <w:pPr>
        <w:spacing w:before="240" w:after="100"/>
        <w:pBdr>
          <w:bottom w:val="single" w:sz="6" w:space="1" w:color="2E4057"/>
        </w:pBdr>
      </w:pPr>
      <w:r>
        <w:rPr>
          <w:rFonts w:ascii="Arial" w:hAnsi="Arial"/>
          <w:b/>
          <w:i w:val="0"/>
          <w:color w:val="2E4057"/>
          <w:sz w:val="26"/>
        </w:rPr>
        <w:t>Intellectual Property Rights</w:t>
      </w:r>
    </w:p>
    <w:p>
      <w:pPr>
        <w:spacing w:after="120"/>
      </w:pPr>
      <w:r>
        <w:rPr>
          <w:rFonts w:ascii="Arial" w:hAnsi="Arial"/>
          <w:b w:val="0"/>
          <w:i w:val="0"/>
          <w:color w:val="222222"/>
          <w:sz w:val="22"/>
        </w:rPr>
        <w:t>All content created by the influencer shall remain their intellectual property. turabit is granted a worldwide, royalty-free license to use such content for marketing. The influencer agrees not to use turabit’s intellectual property beyond the agreement without prior written consent.</w:t>
      </w:r>
    </w:p>
    <w:p>
      <w:pPr>
        <w:spacing w:after="120"/>
      </w:pPr>
    </w:p>
    <w:p>
      <w:pPr>
        <w:spacing w:before="240" w:after="100"/>
        <w:pBdr>
          <w:bottom w:val="single" w:sz="6" w:space="1" w:color="2E4057"/>
        </w:pBdr>
      </w:pPr>
      <w:r>
        <w:rPr>
          <w:rFonts w:ascii="Arial" w:hAnsi="Arial"/>
          <w:b/>
          <w:i w:val="0"/>
          <w:color w:val="2E4057"/>
          <w:sz w:val="26"/>
        </w:rPr>
        <w:t>Termination Conditions</w:t>
      </w:r>
    </w:p>
    <w:p>
      <w:pPr>
        <w:spacing w:after="120"/>
      </w:pPr>
      <w:r>
        <w:rPr>
          <w:rFonts w:ascii="Arial" w:hAnsi="Arial"/>
          <w:b w:val="0"/>
          <w:i w:val="0"/>
          <w:color w:val="222222"/>
          <w:sz w:val="22"/>
        </w:rPr>
        <w:t>Either party may terminate the agreement with 30 days written notice. Immediate termination is permitted for breach of contract or misconduct. Post-termination, the influencer must maintain confidentiality and refrain from promoting competing products for six months following termination.</w:t>
      </w:r>
    </w:p>
    <w:p>
      <w:pPr>
        <w:spacing w:after="120"/>
      </w:pPr>
    </w:p>
    <w:p>
      <w:pPr>
        <w:spacing w:before="240" w:after="100"/>
        <w:pBdr>
          <w:bottom w:val="single" w:sz="6" w:space="1" w:color="2E4057"/>
        </w:pBdr>
      </w:pPr>
      <w:r>
        <w:rPr>
          <w:rFonts w:ascii="Arial" w:hAnsi="Arial"/>
          <w:b/>
          <w:i w:val="0"/>
          <w:color w:val="2E4057"/>
          <w:sz w:val="26"/>
        </w:rPr>
        <w:t>Dispute Resolution</w:t>
      </w:r>
    </w:p>
    <w:p>
      <w:pPr>
        <w:spacing w:after="120"/>
      </w:pPr>
      <w:r>
        <w:rPr>
          <w:rFonts w:ascii="Arial" w:hAnsi="Arial"/>
          <w:b w:val="0"/>
          <w:i w:val="0"/>
          <w:color w:val="222222"/>
          <w:sz w:val="22"/>
        </w:rPr>
        <w:t>Any disputes arising under this agreement shall be resolved through good faith negotiations. If unresolved, parties agree to mediation followed by binding arbitration under Indian law. Notice of dispute must be provided within 30 days of the event giving rise to the conflict.</w:t>
      </w:r>
    </w:p>
    <w:p>
      <w:pPr>
        <w:spacing w:after="120"/>
      </w:pPr>
    </w:p>
    <w:p>
      <w:pPr>
        <w:spacing w:before="240" w:after="100"/>
        <w:pBdr>
          <w:bottom w:val="single" w:sz="6" w:space="1" w:color="2E4057"/>
        </w:pBdr>
      </w:pPr>
      <w:r>
        <w:rPr>
          <w:rFonts w:ascii="Arial" w:hAnsi="Arial"/>
          <w:b/>
          <w:i w:val="0"/>
          <w:color w:val="2E4057"/>
          <w:sz w:val="26"/>
        </w:rPr>
        <w:t>Governing Law</w:t>
      </w:r>
    </w:p>
    <w:p>
      <w:pPr>
        <w:spacing w:after="120"/>
      </w:pPr>
      <w:r>
        <w:rPr>
          <w:rFonts w:ascii="Arial" w:hAnsi="Arial"/>
          <w:b w:val="0"/>
          <w:i w:val="0"/>
          <w:color w:val="222222"/>
          <w:sz w:val="22"/>
        </w:rPr>
        <w:t>This Agreement shall be governed by and construed in accordance with the laws of the State of Karnataka, India, without regard to its conflict of law principles. Both parties agree to submit to the exclusive jurisdiction of courts located within Bangalore for any disputes.</w:t>
      </w:r>
    </w:p>
    <w:p>
      <w:pPr>
        <w:spacing w:after="120"/>
      </w:pPr>
    </w:p>
    <w:p>
      <w:pPr>
        <w:spacing w:before="240" w:after="100"/>
        <w:pBdr>
          <w:bottom w:val="single" w:sz="6" w:space="1" w:color="2E4057"/>
        </w:pBdr>
      </w:pPr>
      <w:r>
        <w:rPr>
          <w:rFonts w:ascii="Arial" w:hAnsi="Arial"/>
          <w:b/>
          <w:i w:val="0"/>
          <w:color w:val="2E4057"/>
          <w:sz w:val="26"/>
        </w:rPr>
        <w:t>Signatures of Both Parties</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Legal Counsel</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Influencer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Head of Marketing</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Influencer Agreement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Influencer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