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before="0"/>
      </w:pPr>
      <w:r>
        <w:rPr>
          <w:rFonts w:ascii="Arial" w:hAnsi="Arial"/>
          <w:b/>
          <w:color w:val="2E4057"/>
          <w:sz w:val="40"/>
        </w:rPr>
        <w:t>Customer Onboarding Document</w:t>
      </w:r>
    </w:p>
    <w:p>
      <w:pPr>
        <w:spacing w:after="240"/>
      </w:pPr>
      <w:r>
        <w:rPr>
          <w:rFonts w:ascii="Arial" w:hAnsi="Arial"/>
          <w:b w:val="0"/>
          <w:color w:val="888888"/>
          <w:sz w:val="20"/>
        </w:rPr>
        <w:t>turabit  ·  Sales  ·  India</w:t>
      </w:r>
    </w:p>
    <w:p>
      <w:pPr>
        <w:spacing w:after="280"/>
        <w:pBdr>
          <w:bottom w:val="single" w:sz="6" w:space="1" w:color="2E4057"/>
        </w:pBdr>
      </w:pPr>
    </w:p>
    <w:p>
      <w:pPr>
        <w:spacing w:before="280" w:after="120"/>
      </w:pPr>
      <w:r>
        <w:rPr>
          <w:rFonts w:ascii="Arial" w:hAnsi="Arial"/>
          <w:b/>
          <w:color w:val="2E4057"/>
          <w:sz w:val="26"/>
        </w:rPr>
        <w:t>Welcome and Introduction</w:t>
      </w:r>
    </w:p>
    <w:p>
      <w:pPr>
        <w:spacing w:after="120"/>
      </w:pPr>
      <w:r>
        <w:rPr>
          <w:rFonts w:ascii="Arial" w:hAnsi="Arial"/>
          <w:b w:val="0"/>
          <w:color w:val="222222"/>
          <w:sz w:val="22"/>
        </w:rPr>
        <w:t>Welcome to Turabit. We are excited to partner with you and support your success through innovative, reliable technology solutions.</w:t>
      </w:r>
    </w:p>
    <w:p>
      <w:pPr>
        <w:spacing w:after="80"/>
      </w:pPr>
    </w:p>
    <w:p>
      <w:pPr>
        <w:spacing w:after="120"/>
      </w:pPr>
      <w:r>
        <w:rPr>
          <w:rFonts w:ascii="Arial" w:hAnsi="Arial"/>
          <w:b w:val="0"/>
          <w:color w:val="222222"/>
          <w:sz w:val="22"/>
        </w:rPr>
        <w:t>Our mission is to help organizations streamline operations and make data-driven decisions. We uphold core values of customer commitment, innovation, integrity, reliability, and collaboration, ensuring you receive dependable service and continuous improvement every step of the way.</w:t>
      </w:r>
    </w:p>
    <w:p>
      <w:pPr>
        <w:spacing w:after="160"/>
      </w:pPr>
    </w:p>
    <w:p>
      <w:pPr>
        <w:spacing w:before="280" w:after="120"/>
      </w:pPr>
      <w:r>
        <w:rPr>
          <w:rFonts w:ascii="Arial" w:hAnsi="Arial"/>
          <w:b/>
          <w:color w:val="2E4057"/>
          <w:sz w:val="26"/>
        </w:rPr>
        <w:t>Customer Information</w:t>
      </w:r>
    </w:p>
    <w:p>
      <w:pPr>
        <w:spacing w:after="120"/>
      </w:pPr>
      <w:r>
        <w:rPr>
          <w:rFonts w:ascii="Arial" w:hAnsi="Arial"/>
          <w:b w:val="0"/>
          <w:color w:val="222222"/>
          <w:sz w:val="22"/>
        </w:rPr>
        <w:t>Primary customer representatives are Mr. David Carter, Customer Operations Director, david.carter@clientcompany.com, +1-415-555-2841, and Ms. Laura Mitchell, Implementation Project Manager, laura.mitchell@clientcompany.com, +1-415-555-3917.</w:t>
      </w:r>
    </w:p>
    <w:p>
      <w:pPr>
        <w:spacing w:after="80"/>
      </w:pPr>
    </w:p>
    <w:p>
      <w:pPr>
        <w:spacing w:after="120"/>
      </w:pPr>
      <w:r>
        <w:rPr>
          <w:rFonts w:ascii="Arial" w:hAnsi="Arial"/>
          <w:b w:val="0"/>
          <w:color w:val="222222"/>
          <w:sz w:val="22"/>
        </w:rPr>
        <w:t>Key requirements include CRM integration, data security compliance, customized access roles, dedicated support sessions, tailored documentation, and weekly progress updates.</w:t>
      </w:r>
    </w:p>
    <w:p>
      <w:pPr>
        <w:spacing w:after="160"/>
      </w:pPr>
    </w:p>
    <w:p>
      <w:pPr>
        <w:spacing w:before="280" w:after="120"/>
      </w:pPr>
      <w:r>
        <w:rPr>
          <w:rFonts w:ascii="Arial" w:hAnsi="Arial"/>
          <w:b/>
          <w:color w:val="2E4057"/>
          <w:sz w:val="26"/>
        </w:rPr>
        <w:t>Overview of Purchased Product or Service</w:t>
      </w:r>
    </w:p>
    <w:p>
      <w:pPr>
        <w:spacing w:after="120"/>
      </w:pPr>
      <w:r>
        <w:rPr>
          <w:rFonts w:ascii="Arial" w:hAnsi="Arial"/>
          <w:b w:val="0"/>
          <w:color w:val="222222"/>
          <w:sz w:val="22"/>
        </w:rPr>
        <w:t>The customer has purchased the Enterprise Workflow Automation Platform – Version 4.2, featuring:</w:t>
      </w:r>
    </w:p>
    <w:p>
      <w:pPr>
        <w:spacing w:after="80"/>
      </w:pPr>
    </w:p>
    <w:p>
      <w:pPr>
        <w:spacing w:after="80"/>
        <w:ind w:left="360"/>
      </w:pPr>
      <w:r>
        <w:rPr>
          <w:rFonts w:ascii="Arial" w:hAnsi="Arial"/>
          <w:b w:val="0"/>
          <w:color w:val="222222"/>
          <w:sz w:val="22"/>
        </w:rPr>
        <w:t>1. Workflow Automation Engine</w:t>
      </w:r>
    </w:p>
    <w:p>
      <w:pPr>
        <w:spacing w:after="80"/>
        <w:ind w:left="360"/>
      </w:pPr>
      <w:r>
        <w:rPr>
          <w:rFonts w:ascii="Arial" w:hAnsi="Arial"/>
          <w:b w:val="0"/>
          <w:color w:val="222222"/>
          <w:sz w:val="22"/>
        </w:rPr>
        <w:t>2. Role-Based Access Control Module</w:t>
      </w:r>
    </w:p>
    <w:p>
      <w:pPr>
        <w:spacing w:after="80"/>
        <w:ind w:left="360"/>
      </w:pPr>
      <w:r>
        <w:rPr>
          <w:rFonts w:ascii="Arial" w:hAnsi="Arial"/>
          <w:b w:val="0"/>
          <w:color w:val="222222"/>
          <w:sz w:val="22"/>
        </w:rPr>
        <w:t>3. API Integration and Webhook Management</w:t>
      </w:r>
    </w:p>
    <w:p>
      <w:pPr>
        <w:spacing w:after="80"/>
        <w:ind w:left="360"/>
      </w:pPr>
      <w:r>
        <w:rPr>
          <w:rFonts w:ascii="Arial" w:hAnsi="Arial"/>
          <w:b w:val="0"/>
          <w:color w:val="222222"/>
          <w:sz w:val="22"/>
        </w:rPr>
        <w:t>4. Analytics and Reporting Dashboard</w:t>
      </w:r>
    </w:p>
    <w:p>
      <w:pPr>
        <w:spacing w:after="80"/>
        <w:ind w:left="360"/>
      </w:pPr>
      <w:r>
        <w:rPr>
          <w:rFonts w:ascii="Arial" w:hAnsi="Arial"/>
          <w:b w:val="0"/>
          <w:color w:val="222222"/>
          <w:sz w:val="22"/>
        </w:rPr>
        <w:t>5. Document Management and Version Control</w:t>
      </w:r>
    </w:p>
    <w:p>
      <w:pPr>
        <w:spacing w:after="80"/>
        <w:ind w:left="360"/>
      </w:pPr>
      <w:r>
        <w:rPr>
          <w:rFonts w:ascii="Arial" w:hAnsi="Arial"/>
          <w:b w:val="0"/>
          <w:color w:val="222222"/>
          <w:sz w:val="22"/>
        </w:rPr>
        <w:t>6. User Activity Monitoring and Audit Logs</w:t>
      </w:r>
    </w:p>
    <w:p>
      <w:pPr>
        <w:spacing w:after="80"/>
        <w:ind w:left="360"/>
      </w:pPr>
      <w:r>
        <w:rPr>
          <w:rFonts w:ascii="Arial" w:hAnsi="Arial"/>
          <w:b w:val="0"/>
          <w:color w:val="222222"/>
          <w:sz w:val="22"/>
        </w:rPr>
        <w:t>7. Notification and Alert Management System</w:t>
      </w:r>
    </w:p>
    <w:p>
      <w:pPr>
        <w:spacing w:after="80"/>
      </w:pPr>
    </w:p>
    <w:p>
      <w:pPr>
        <w:spacing w:after="120"/>
      </w:pPr>
      <w:r>
        <w:rPr>
          <w:rFonts w:ascii="Arial" w:hAnsi="Arial"/>
          <w:b w:val="0"/>
          <w:color w:val="222222"/>
          <w:sz w:val="22"/>
        </w:rPr>
        <w:t>The subscription term is 12 months, effective from 01 April 2026 to 31 March 2027.</w:t>
      </w:r>
    </w:p>
    <w:p>
      <w:pPr>
        <w:spacing w:after="160"/>
      </w:pPr>
    </w:p>
    <w:p>
      <w:pPr>
        <w:spacing w:before="280" w:after="120"/>
      </w:pPr>
      <w:r>
        <w:rPr>
          <w:rFonts w:ascii="Arial" w:hAnsi="Arial"/>
          <w:b/>
          <w:color w:val="2E4057"/>
          <w:sz w:val="26"/>
        </w:rPr>
        <w:t>Account Setup Instructions</w:t>
      </w:r>
    </w:p>
    <w:p>
      <w:pPr>
        <w:spacing w:after="80"/>
        <w:ind w:left="360"/>
      </w:pPr>
      <w:r>
        <w:rPr>
          <w:rFonts w:ascii="Arial" w:hAnsi="Arial"/>
          <w:b w:val="0"/>
          <w:color w:val="222222"/>
          <w:sz w:val="22"/>
        </w:rPr>
        <w:t>1. Access Turabit dashboard and go to Customer Management → Create New Customer Account.</w:t>
      </w:r>
    </w:p>
    <w:p>
      <w:pPr>
        <w:spacing w:after="80"/>
        <w:ind w:left="360"/>
      </w:pPr>
      <w:r>
        <w:rPr>
          <w:rFonts w:ascii="Arial" w:hAnsi="Arial"/>
          <w:b w:val="0"/>
          <w:color w:val="222222"/>
          <w:sz w:val="22"/>
        </w:rPr>
        <w:t>2. Enter customer details: Organization Name, Contact Name, Email, Phone, Billing Address, Admin Username, Access Role, Subscription Plan, Contract Dates.</w:t>
      </w:r>
    </w:p>
    <w:p>
      <w:pPr>
        <w:spacing w:after="80"/>
        <w:ind w:left="360"/>
      </w:pPr>
      <w:r>
        <w:rPr>
          <w:rFonts w:ascii="Arial" w:hAnsi="Arial"/>
          <w:b w:val="0"/>
          <w:color w:val="222222"/>
          <w:sz w:val="22"/>
        </w:rPr>
        <w:t>3. Assign roles, configure modules, verify data, save configuration.</w:t>
      </w:r>
    </w:p>
    <w:p>
      <w:pPr>
        <w:spacing w:after="80"/>
        <w:ind w:left="360"/>
      </w:pPr>
      <w:r>
        <w:rPr>
          <w:rFonts w:ascii="Arial" w:hAnsi="Arial"/>
          <w:b w:val="0"/>
          <w:color w:val="222222"/>
          <w:sz w:val="22"/>
        </w:rPr>
        <w:t>4. Submit for approval by Human Resources Manager or IT Compliance Officer.</w:t>
      </w:r>
    </w:p>
    <w:p>
      <w:pPr>
        <w:spacing w:after="80"/>
        <w:ind w:left="360"/>
      </w:pPr>
      <w:r>
        <w:rPr>
          <w:rFonts w:ascii="Arial" w:hAnsi="Arial"/>
          <w:b w:val="0"/>
          <w:color w:val="222222"/>
          <w:sz w:val="22"/>
        </w:rPr>
        <w:t>5. Follow security protocols and compliance standards.</w:t>
      </w:r>
    </w:p>
    <w:p>
      <w:pPr>
        <w:spacing w:after="160"/>
      </w:pPr>
    </w:p>
    <w:p>
      <w:pPr>
        <w:spacing w:before="280" w:after="120"/>
      </w:pPr>
      <w:r>
        <w:rPr>
          <w:rFonts w:ascii="Arial" w:hAnsi="Arial"/>
          <w:b/>
          <w:color w:val="2E4057"/>
          <w:sz w:val="26"/>
        </w:rPr>
        <w:t>Product or Service Usage Guidelines</w:t>
      </w:r>
    </w:p>
    <w:p>
      <w:pPr>
        <w:spacing w:after="120"/>
      </w:pPr>
      <w:r>
        <w:rPr>
          <w:rFonts w:ascii="Arial" w:hAnsi="Arial"/>
          <w:b w:val="0"/>
          <w:color w:val="222222"/>
          <w:sz w:val="22"/>
        </w:rPr>
        <w:t>Customers must adhere to licensed user limits, API request thresholds, storage capacities, workflow maximums, and approved third-party integrations only. Unauthorized access, system abuse, or excessive resource use is prohibited.</w:t>
      </w:r>
    </w:p>
    <w:p>
      <w:pPr>
        <w:spacing w:after="80"/>
      </w:pPr>
    </w:p>
    <w:p>
      <w:pPr>
        <w:spacing w:after="120"/>
      </w:pPr>
      <w:r>
        <w:rPr>
          <w:rFonts w:ascii="Arial" w:hAnsi="Arial"/>
          <w:b w:val="0"/>
          <w:color w:val="222222"/>
          <w:sz w:val="22"/>
        </w:rPr>
        <w:t>Security requires strong authentication, role-based access, data protection compliance, lawful content use, prompt incident reporting, and adherence to internal security policies.</w:t>
      </w:r>
    </w:p>
    <w:p>
      <w:pPr>
        <w:spacing w:after="160"/>
      </w:pPr>
    </w:p>
    <w:p>
      <w:pPr>
        <w:spacing w:before="280" w:after="120"/>
      </w:pPr>
      <w:r>
        <w:rPr>
          <w:rFonts w:ascii="Arial" w:hAnsi="Arial"/>
          <w:b/>
          <w:color w:val="2E4057"/>
          <w:sz w:val="26"/>
        </w:rPr>
        <w:t>Implementation Timeline</w:t>
      </w:r>
    </w:p>
    <w:p>
      <w:pPr>
        <w:spacing w:after="120"/>
      </w:pPr>
      <w:r>
        <w:rPr>
          <w:rFonts w:ascii="Arial" w:hAnsi="Arial"/>
          <w:b w:val="0"/>
          <w:color w:val="222222"/>
          <w:sz w:val="22"/>
        </w:rPr>
        <w:t>The implementation timeline outlines the sequential steps from contract signing through to system go-live, including key decision points and responsible roles to ensure a smooth customer onboarding experience.</w:t>
      </w:r>
    </w:p>
    <w:p>
      <w:pPr>
        <w:spacing w:after="120"/>
      </w:pPr>
      <w:r>
        <w:rPr>
          <w:rFonts w:ascii="Arial" w:hAnsi="Arial"/>
          <w:b w:val="0"/>
          <w:color w:val="222222"/>
          <w:sz w:val="22"/>
        </w:rPr>
        <w:t>```mermaid</w:t>
      </w:r>
    </w:p>
    <w:p>
      <w:pPr>
        <w:spacing w:after="120"/>
      </w:pPr>
      <w:r>
        <w:rPr>
          <w:rFonts w:ascii="Arial" w:hAnsi="Arial"/>
          <w:b w:val="0"/>
          <w:color w:val="222222"/>
          <w:sz w:val="22"/>
        </w:rPr>
        <w:t>flowchart TD</w:t>
      </w:r>
    </w:p>
    <w:p>
      <w:pPr>
        <w:spacing w:after="120"/>
      </w:pPr>
      <w:r>
        <w:rPr>
          <w:rFonts w:ascii="Arial" w:hAnsi="Arial"/>
          <w:b w:val="0"/>
          <w:color w:val="222222"/>
          <w:sz w:val="22"/>
        </w:rPr>
        <w:t>A([Start: Contract Signed]) --&gt; B[Internal Kickoff]</w:t>
      </w:r>
    </w:p>
    <w:p>
      <w:pPr>
        <w:spacing w:after="120"/>
      </w:pPr>
      <w:r>
        <w:rPr>
          <w:rFonts w:ascii="Arial" w:hAnsi="Arial"/>
          <w:b w:val="0"/>
          <w:color w:val="222222"/>
          <w:sz w:val="22"/>
        </w:rPr>
        <w:t>B --&gt; C[Customer Kickoff]</w:t>
      </w:r>
    </w:p>
    <w:p>
      <w:pPr>
        <w:spacing w:after="120"/>
      </w:pPr>
      <w:r>
        <w:rPr>
          <w:rFonts w:ascii="Arial" w:hAnsi="Arial"/>
          <w:b w:val="0"/>
          <w:color w:val="222222"/>
          <w:sz w:val="22"/>
        </w:rPr>
        <w:t>C --&gt; D[Account Provisioning]</w:t>
      </w:r>
    </w:p>
    <w:p>
      <w:pPr>
        <w:spacing w:after="120"/>
      </w:pPr>
      <w:r>
        <w:rPr>
          <w:rFonts w:ascii="Arial" w:hAnsi="Arial"/>
          <w:b w:val="0"/>
          <w:color w:val="222222"/>
          <w:sz w:val="22"/>
        </w:rPr>
        <w:t>D --&gt; E[System Configuration]</w:t>
      </w:r>
    </w:p>
    <w:p>
      <w:pPr>
        <w:spacing w:after="120"/>
      </w:pPr>
      <w:r>
        <w:rPr>
          <w:rFonts w:ascii="Arial" w:hAnsi="Arial"/>
          <w:b w:val="0"/>
          <w:color w:val="222222"/>
          <w:sz w:val="22"/>
        </w:rPr>
        <w:t>E --&gt; F{Config Approved?}</w:t>
      </w:r>
    </w:p>
    <w:tbl>
      <w:tblPr>
        <w:tblW w:type="auto" w:w="0"/>
        <w:jc w:val="left"/>
        <w:tblLook w:firstColumn="1" w:firstRow="1" w:lastColumn="0" w:lastRow="0" w:noHBand="0" w:noVBand="1" w:val="04A0"/>
      </w:tblPr>
      <w:tblGrid>
        <w:gridCol w:w="3120"/>
        <w:gridCol w:w="3120"/>
        <w:gridCol w:w="3120"/>
      </w:tblGrid>
      <w:tr>
        <w:tc>
          <w:tcPr>
            <w:tcW w:type="dxa" w:w="31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F --&gt;</w:t>
            </w:r>
          </w:p>
        </w:tc>
        <w:tc>
          <w:tcPr>
            <w:tcW w:type="dxa" w:w="31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Yes</w:t>
            </w:r>
          </w:p>
        </w:tc>
        <w:tc>
          <w:tcPr>
            <w:tcW w:type="dxa" w:w="31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G[Integration Setup]</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F --&gt;</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No</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E</w:t>
            </w:r>
          </w:p>
        </w:tc>
      </w:tr>
    </w:tbl>
    <w:p>
      <w:pPr>
        <w:spacing w:after="120"/>
      </w:pPr>
    </w:p>
    <w:p>
      <w:pPr>
        <w:spacing w:after="120"/>
      </w:pPr>
      <w:r>
        <w:rPr>
          <w:rFonts w:ascii="Arial" w:hAnsi="Arial"/>
          <w:b w:val="0"/>
          <w:color w:val="222222"/>
          <w:sz w:val="22"/>
        </w:rPr>
        <w:t>G --&gt; H{Integration Validated?}</w:t>
      </w:r>
    </w:p>
    <w:tbl>
      <w:tblPr>
        <w:tblW w:type="auto" w:w="0"/>
        <w:jc w:val="left"/>
        <w:tblLook w:firstColumn="1" w:firstRow="1" w:lastColumn="0" w:lastRow="0" w:noHBand="0" w:noVBand="1" w:val="04A0"/>
      </w:tblPr>
      <w:tblGrid>
        <w:gridCol w:w="3120"/>
        <w:gridCol w:w="3120"/>
        <w:gridCol w:w="3120"/>
      </w:tblGrid>
      <w:tr>
        <w:tc>
          <w:tcPr>
            <w:tcW w:type="dxa" w:w="31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H --&gt;</w:t>
            </w:r>
          </w:p>
        </w:tc>
        <w:tc>
          <w:tcPr>
            <w:tcW w:type="dxa" w:w="31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Yes</w:t>
            </w:r>
          </w:p>
        </w:tc>
        <w:tc>
          <w:tcPr>
            <w:tcW w:type="dxa" w:w="31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I[Training &amp; Docs]</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H --&gt;</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No</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G</w:t>
            </w:r>
          </w:p>
        </w:tc>
      </w:tr>
    </w:tbl>
    <w:p>
      <w:pPr>
        <w:spacing w:after="120"/>
      </w:pPr>
    </w:p>
    <w:p>
      <w:pPr>
        <w:spacing w:after="120"/>
      </w:pPr>
      <w:r>
        <w:rPr>
          <w:rFonts w:ascii="Arial" w:hAnsi="Arial"/>
          <w:b w:val="0"/>
          <w:color w:val="222222"/>
          <w:sz w:val="22"/>
        </w:rPr>
        <w:t>I --&gt; J{UAT Approved?}</w:t>
      </w:r>
    </w:p>
    <w:tbl>
      <w:tblPr>
        <w:tblW w:type="auto" w:w="0"/>
        <w:jc w:val="left"/>
        <w:tblLook w:firstColumn="1" w:firstRow="1" w:lastColumn="0" w:lastRow="0" w:noHBand="0" w:noVBand="1" w:val="04A0"/>
      </w:tblPr>
      <w:tblGrid>
        <w:gridCol w:w="3120"/>
        <w:gridCol w:w="3120"/>
        <w:gridCol w:w="3120"/>
      </w:tblGrid>
      <w:tr>
        <w:tc>
          <w:tcPr>
            <w:tcW w:type="dxa" w:w="31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J --&gt;</w:t>
            </w:r>
          </w:p>
        </w:tc>
        <w:tc>
          <w:tcPr>
            <w:tcW w:type="dxa" w:w="31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Yes</w:t>
            </w:r>
          </w:p>
        </w:tc>
        <w:tc>
          <w:tcPr>
            <w:tcW w:type="dxa" w:w="31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K[Go-Live Preparation]</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J --&gt;</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No</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w:t>
            </w:r>
          </w:p>
        </w:tc>
      </w:tr>
    </w:tbl>
    <w:p>
      <w:pPr>
        <w:spacing w:after="120"/>
      </w:pPr>
    </w:p>
    <w:p>
      <w:pPr>
        <w:spacing w:after="120"/>
      </w:pPr>
      <w:r>
        <w:rPr>
          <w:rFonts w:ascii="Arial" w:hAnsi="Arial"/>
          <w:b w:val="0"/>
          <w:color w:val="222222"/>
          <w:sz w:val="22"/>
        </w:rPr>
        <w:t>K --&gt; L{Go-Live Authorized?}</w:t>
      </w:r>
    </w:p>
    <w:tbl>
      <w:tblPr>
        <w:tblW w:type="auto" w:w="0"/>
        <w:jc w:val="left"/>
        <w:tblLook w:firstColumn="1" w:firstRow="1" w:lastColumn="0" w:lastRow="0" w:noHBand="0" w:noVBand="1" w:val="04A0"/>
      </w:tblPr>
      <w:tblGrid>
        <w:gridCol w:w="3120"/>
        <w:gridCol w:w="3120"/>
        <w:gridCol w:w="3120"/>
      </w:tblGrid>
      <w:tr>
        <w:tc>
          <w:tcPr>
            <w:tcW w:type="dxa" w:w="31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L --&gt;</w:t>
            </w:r>
          </w:p>
        </w:tc>
        <w:tc>
          <w:tcPr>
            <w:tcW w:type="dxa" w:w="31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Yes</w:t>
            </w:r>
          </w:p>
        </w:tc>
        <w:tc>
          <w:tcPr>
            <w:tcW w:type="dxa" w:w="312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M([Production Launch])</w:t>
            </w:r>
          </w:p>
        </w:tc>
      </w:tr>
      <w:tr>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L --&gt;</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No</w:t>
            </w:r>
          </w:p>
        </w:tc>
        <w:tc>
          <w:tcPr>
            <w:tcW w:type="dxa" w:w="312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K</w:t>
            </w:r>
          </w:p>
        </w:tc>
      </w:tr>
    </w:tbl>
    <w:p>
      <w:pPr>
        <w:spacing w:after="120"/>
      </w:pPr>
    </w:p>
    <w:p>
      <w:pPr>
        <w:spacing w:after="120"/>
      </w:pPr>
      <w:r>
        <w:rPr>
          <w:rFonts w:ascii="Arial" w:hAnsi="Arial"/>
          <w:b w:val="0"/>
          <w:color w:val="222222"/>
          <w:sz w:val="22"/>
        </w:rPr>
        <w:t>```</w:t>
      </w:r>
    </w:p>
    <w:p>
      <w:pPr>
        <w:spacing w:after="160"/>
      </w:pPr>
    </w:p>
    <w:p>
      <w:pPr>
        <w:spacing w:before="280" w:after="120"/>
      </w:pPr>
      <w:r>
        <w:rPr>
          <w:rFonts w:ascii="Arial" w:hAnsi="Arial"/>
          <w:b/>
          <w:color w:val="2E4057"/>
          <w:sz w:val="26"/>
        </w:rPr>
        <w:t>Support and Contact Information</w:t>
      </w:r>
    </w:p>
    <w:p>
      <w:pPr>
        <w:spacing w:after="120"/>
      </w:pPr>
      <w:r>
        <w:rPr>
          <w:rFonts w:ascii="Arial" w:hAnsi="Arial"/>
          <w:b w:val="0"/>
          <w:color w:val="222222"/>
          <w:sz w:val="22"/>
        </w:rPr>
        <w:t>Customers can reach turabit support through multiple channels for prompt assistance:</w:t>
      </w:r>
    </w:p>
    <w:p>
      <w:pPr>
        <w:spacing w:after="80"/>
        <w:ind w:left="360"/>
      </w:pPr>
      <w:r>
        <w:rPr>
          <w:rFonts w:ascii="Arial" w:hAnsi="Arial"/>
          <w:b w:val="0"/>
          <w:color w:val="222222"/>
          <w:sz w:val="22"/>
        </w:rPr>
        <w:t>1. Email: support@turabit.com</w:t>
      </w:r>
    </w:p>
    <w:p>
      <w:pPr>
        <w:spacing w:after="80"/>
        <w:ind w:left="360"/>
      </w:pPr>
      <w:r>
        <w:rPr>
          <w:rFonts w:ascii="Arial" w:hAnsi="Arial"/>
          <w:b w:val="0"/>
          <w:color w:val="222222"/>
          <w:sz w:val="22"/>
        </w:rPr>
        <w:t>2. Phone: +91 1800 123 4567</w:t>
      </w:r>
    </w:p>
    <w:p>
      <w:pPr>
        <w:spacing w:after="80"/>
        <w:ind w:left="360"/>
      </w:pPr>
      <w:r>
        <w:rPr>
          <w:rFonts w:ascii="Arial" w:hAnsi="Arial"/>
          <w:b w:val="0"/>
          <w:color w:val="222222"/>
          <w:sz w:val="22"/>
        </w:rPr>
        <w:t>3. Live Chat: Available on the turabit website during business hours</w:t>
      </w:r>
    </w:p>
    <w:p>
      <w:pPr>
        <w:spacing w:after="80"/>
      </w:pPr>
    </w:p>
    <w:p>
      <w:pPr>
        <w:spacing w:after="120"/>
      </w:pPr>
      <w:r>
        <w:rPr>
          <w:rFonts w:ascii="Arial" w:hAnsi="Arial"/>
          <w:b w:val="0"/>
          <w:color w:val="222222"/>
          <w:sz w:val="22"/>
        </w:rPr>
        <w:t>The Sales Support Lead, Rajesh Kumar, oversees customer issue resolution, ensuring timely and effective responses tailored to your needs.</w:t>
      </w:r>
    </w:p>
    <w:p>
      <w:pPr>
        <w:spacing w:after="160"/>
      </w:pPr>
    </w:p>
    <w:p>
      <w:pPr>
        <w:spacing w:before="280" w:after="120"/>
      </w:pPr>
      <w:r>
        <w:rPr>
          <w:rFonts w:ascii="Arial" w:hAnsi="Arial"/>
          <w:b/>
          <w:color w:val="2E4057"/>
          <w:sz w:val="26"/>
        </w:rPr>
        <w:t>Training Resources</w:t>
      </w:r>
    </w:p>
    <w:p>
      <w:pPr>
        <w:spacing w:after="120"/>
      </w:pPr>
      <w:r>
        <w:rPr>
          <w:rFonts w:ascii="Arial" w:hAnsi="Arial"/>
          <w:b w:val="0"/>
          <w:color w:val="222222"/>
          <w:sz w:val="22"/>
        </w:rPr>
        <w:t>Training resources include interactive product demos, platform navigation tutorials, and best practice guides tailored to customer needs. Sales enablement and customer success teams collaboratively manage onboarding training, ensuring personalized support. Additional resources such as FAQs and video walkthroughs are accessible through the customer portal, facilitating continuous learning and smooth adoption of turabit’s SaaS solutions in the Indian market.</w:t>
      </w:r>
    </w:p>
    <w:p>
      <w:pPr>
        <w:spacing w:after="160"/>
      </w:pPr>
    </w:p>
    <w:p>
      <w:pPr>
        <w:spacing w:before="280" w:after="120"/>
      </w:pPr>
      <w:r>
        <w:rPr>
          <w:rFonts w:ascii="Arial" w:hAnsi="Arial"/>
          <w:b/>
          <w:color w:val="2E4057"/>
          <w:sz w:val="26"/>
        </w:rPr>
        <w:t>Customer Responsibilities</w:t>
      </w:r>
    </w:p>
    <w:p>
      <w:pPr>
        <w:spacing w:after="120"/>
      </w:pPr>
      <w:r>
        <w:rPr>
          <w:rFonts w:ascii="Arial" w:hAnsi="Arial"/>
          <w:b w:val="0"/>
          <w:color w:val="222222"/>
          <w:sz w:val="22"/>
        </w:rPr>
        <w:t>Customers are responsible for providing accurate business information, designating key contacts, and ensuring timely communication throughout the onboarding process. They must review and approve deliverables promptly and complete any required training sessions. Adhering to agreed deadlines facilitates a smooth onboarding experience. Prompt feedback and cooperation with turabit’s team are essential to meet project milestones effectively.</w:t>
      </w:r>
    </w:p>
    <w:p>
      <w:pPr>
        <w:spacing w:after="160"/>
      </w:pPr>
    </w:p>
    <w:p>
      <w:pPr>
        <w:spacing w:before="280" w:after="120"/>
      </w:pPr>
      <w:r>
        <w:rPr>
          <w:rFonts w:ascii="Arial" w:hAnsi="Arial"/>
          <w:b/>
          <w:color w:val="2E4057"/>
          <w:sz w:val="26"/>
        </w:rPr>
        <w:t>Next Steps and Key Milestones</w:t>
      </w:r>
    </w:p>
    <w:p>
      <w:pPr>
        <w:spacing w:after="120"/>
      </w:pPr>
      <w:r>
        <w:rPr>
          <w:rFonts w:ascii="Arial" w:hAnsi="Arial"/>
          <w:b w:val="0"/>
          <w:color w:val="222222"/>
          <w:sz w:val="22"/>
        </w:rPr>
        <w:t>The following table outlines the next steps and key milestones for the customer onboarding process, including responsible owners, due dates, current status, and relevant dependencies.</w:t>
      </w:r>
    </w:p>
    <w:p>
      <w:pPr>
        <w:spacing w:after="80"/>
      </w:pPr>
    </w:p>
    <w:tbl>
      <w:tblPr>
        <w:tblW w:type="auto" w:w="0"/>
        <w:jc w:val="left"/>
        <w:tblLook w:firstColumn="1" w:firstRow="1" w:lastColumn="0" w:lastRow="0" w:noHBand="0" w:noVBand="1" w:val="04A0"/>
      </w:tblPr>
      <w:tblGrid>
        <w:gridCol w:w="1560"/>
        <w:gridCol w:w="1560"/>
        <w:gridCol w:w="1560"/>
        <w:gridCol w:w="1560"/>
        <w:gridCol w:w="1560"/>
        <w:gridCol w:w="1560"/>
      </w:tblGrid>
      <w:tr>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Phase</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Task</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Owner</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Due Date</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Status</w:t>
            </w:r>
          </w:p>
        </w:tc>
        <w:tc>
          <w:tcPr>
            <w:tcW w:type="dxa" w:w="1560"/>
            <w:shd w:val="clear" w:color="auto" w:fill="2E4057"/>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color w:val="FFFFFF"/>
                <w:sz w:val="20"/>
              </w:rPr>
              <w:t>Dependency / Notes</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Contract Initiation</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Confirm signed agreement</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Daniel Carter – Implementation Project Manager</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2026-04-02</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Completed</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Required before onboarding activities begin</w:t>
            </w:r>
          </w:p>
        </w:tc>
      </w:tr>
      <w:tr>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Customer Kickoff</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Conduct kickoff meeting</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Laura Bennett – Customer Success Manager</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2026-04-05</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Completed</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Depends on finalized onboarding scope</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Account Provisioning</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Create customer account and admin access</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Michael Tan – System Administrator</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2026-04-07</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In Progress</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Requires confirmed customer contact details</w:t>
            </w:r>
          </w:p>
        </w:tc>
      </w:tr>
      <w:tr>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Platform Configuration</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Configure modules and permissions</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Rahul Sharma – Implementation Engineer</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2026-04-10</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Pending</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Depends on successful account provisioning</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Integration Setup</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Configure APIs and external system connections</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Priya Nair – Integration Specialist</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2026-04-15</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Pending</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Requires platform configuration completion</w:t>
            </w:r>
          </w:p>
        </w:tc>
      </w:tr>
      <w:tr>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Training Delivery</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Deliver user and admin training</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Emily Rodriguez – Customer Success Specialist</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2026-04-18</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Pending</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Requires stable system configuration</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User Acceptance Testing</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Customer validates system functionality</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Daniel Carter – Implementation Project Manager</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2026-04-22</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Pending</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Dependent on completed integration setup</w:t>
            </w:r>
          </w:p>
        </w:tc>
      </w:tr>
      <w:tr>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Go-Live Preparation</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Conduct readiness checks and validations</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Michael Tan – System Administrator</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2026-04-25</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Pending</w:t>
            </w:r>
          </w:p>
        </w:tc>
        <w:tc>
          <w:tcPr>
            <w:tcW w:type="dxa" w:w="1560"/>
            <w:shd w:val="clear" w:color="auto" w:fill="F3F4F6"/>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Requires successful UAT approval</w:t>
            </w:r>
          </w:p>
        </w:tc>
      </w:tr>
      <w:tr>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Production Go-Live</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Activate production environment</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Laura Bennett – Customer Success Manager</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2026-04-30</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Pending</w:t>
            </w:r>
          </w:p>
        </w:tc>
        <w:tc>
          <w:tcPr>
            <w:tcW w:type="dxa" w:w="1560"/>
            <w:tcBorders>
              <w:top w:val="single" w:sz="4" w:space="0" w:color="CCCCCC"/>
              <w:left w:val="single" w:sz="4" w:space="0" w:color="CCCCCC"/>
              <w:bottom w:val="single" w:sz="4" w:space="0" w:color="CCCCCC"/>
              <w:right w:val="single" w:sz="4" w:space="0" w:color="CCCCCC"/>
            </w:tcBorders>
            <w:tcMar>
              <w:top w:w="80" w:type="dxa"/>
              <w:bottom w:w="80" w:type="dxa"/>
              <w:left w:w="120" w:type="dxa"/>
              <w:right w:w="120" w:type="dxa"/>
            </w:tcMar>
            <w:vAlign w:val="center"/>
          </w:tcPr>
          <w:p>
            <w:pPr>
              <w:spacing w:after="0" w:before="0"/>
            </w:pPr>
            <w:r>
              <w:rPr>
                <w:rFonts w:ascii="Arial" w:hAnsi="Arial"/>
                <w:b w:val="0"/>
                <w:color w:val="222222"/>
                <w:sz w:val="20"/>
              </w:rPr>
              <w:t>Final approval required from customer stakeholders</w:t>
            </w:r>
          </w:p>
        </w:tc>
      </w:tr>
    </w:tbl>
    <w:p>
      <w:pPr>
        <w:spacing w:after="120"/>
      </w:pPr>
    </w:p>
    <w:p>
      <w:pPr>
        <w:spacing w:after="400"/>
      </w:pPr>
    </w:p>
    <w:p>
      <w:pPr>
        <w:jc w:val="center"/>
      </w:pPr>
      <w:r>
        <w:rPr>
          <w:rFonts w:ascii="Arial" w:hAnsi="Arial"/>
          <w:b w:val="0"/>
          <w:color w:val="888888"/>
          <w:sz w:val="16"/>
        </w:rPr>
        <w:t>Customer Onboarding Document  ·  Generated by DocForge AI  ·  Confidential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 xml:space="preserve">Page </w:t>
    </w:r>
    <w:r>
      <w:rPr>
        <w:rFonts w:ascii="Arial" w:hAnsi="Arial"/>
        <w:color w:val="888888"/>
        <w:sz w:val="16"/>
      </w:rPr>
      <w:fldChar w:fldCharType="begin"/>
    </w:r>
    <w:r>
      <w:rPr>
        <w:rFonts w:ascii="Arial" w:hAnsi="Arial"/>
        <w:color w:val="888888"/>
        <w:sz w:val="16"/>
      </w:rPr>
      <w:instrText xml:space="preserve"> PAGE </w:instrText>
    </w:r>
    <w:r>
      <w:rPr>
        <w:rFonts w:ascii="Arial" w:hAnsi="Arial"/>
        <w:color w:val="888888"/>
        <w:sz w:val="16"/>
      </w:rPr>
      <w:fldChar w:fldCharType="end"/>
    </w:r>
    <w:r>
      <w:rPr>
        <w:rFonts w:ascii="Arial" w:hAnsi="Arial"/>
        <w:color w:val="888888"/>
        <w:sz w:val="16"/>
      </w:rPr>
      <w:t xml:space="preserve"> of </w:t>
    </w:r>
    <w:r>
      <w:rPr>
        <w:rFonts w:ascii="Arial" w:hAnsi="Arial"/>
        <w:color w:val="888888"/>
        <w:sz w:val="16"/>
      </w:rPr>
      <w:fldChar w:fldCharType="begin"/>
    </w:r>
    <w:r>
      <w:rPr>
        <w:rFonts w:ascii="Arial" w:hAnsi="Arial"/>
        <w:color w:val="888888"/>
        <w:sz w:val="16"/>
      </w:rPr>
      <w:instrText xml:space="preserve"> NUMPAGES </w:instrText>
    </w:r>
    <w:r>
      <w:rPr>
        <w:rFonts w:ascii="Arial" w:hAnsi="Arial"/>
        <w:color w:val="888888"/>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val="0"/>
        <w:color w:val="888888"/>
        <w:sz w:val="16"/>
      </w:rPr>
      <w:t>turabit  |  Customer Onboarding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