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Deal Summary Report</w:t>
      </w:r>
    </w:p>
    <w:p>
      <w:pPr>
        <w:spacing w:after="240"/>
      </w:pPr>
      <w:r>
        <w:rPr>
          <w:rFonts w:ascii="Arial" w:hAnsi="Arial"/>
          <w:b w:val="0"/>
          <w:color w:val="888888"/>
          <w:sz w:val="20"/>
        </w:rPr>
        <w:t>turabit  ·  Sales  ·  India</w:t>
      </w:r>
    </w:p>
    <w:p>
      <w:pPr>
        <w:spacing w:after="280"/>
        <w:pBdr>
          <w:bottom w:val="single" w:sz="6" w:space="1" w:color="2E4057"/>
        </w:pBdr>
      </w:pPr>
    </w:p>
    <w:p>
      <w:pPr>
        <w:spacing w:before="280" w:after="120"/>
      </w:pPr>
      <w:r>
        <w:rPr>
          <w:rFonts w:ascii="Arial" w:hAnsi="Arial"/>
          <w:b/>
          <w:color w:val="2E4057"/>
          <w:sz w:val="26"/>
        </w:rPr>
        <w:t>Report Information</w:t>
      </w:r>
    </w:p>
    <w:p>
      <w:pPr>
        <w:spacing w:after="120"/>
      </w:pPr>
      <w:r>
        <w:rPr>
          <w:rFonts w:ascii="Arial" w:hAnsi="Arial"/>
          <w:b w:val="0"/>
          <w:color w:val="222222"/>
          <w:sz w:val="22"/>
        </w:rPr>
        <w:t>The deal summary report for turabit, Sales Department, Technology / SaaS industry in India, is effective as of 01 April 2026. The primary sales representative responsible for this deal is Rahul Mehta, Senior Sales Manager, overseeing all sales activities and client engagement.</w:t>
      </w:r>
    </w:p>
    <w:p>
      <w:pPr>
        <w:spacing w:after="160"/>
      </w:pPr>
    </w:p>
    <w:p>
      <w:pPr>
        <w:spacing w:before="280" w:after="120"/>
      </w:pPr>
      <w:r>
        <w:rPr>
          <w:rFonts w:ascii="Arial" w:hAnsi="Arial"/>
          <w:b/>
          <w:color w:val="2E4057"/>
          <w:sz w:val="26"/>
        </w:rPr>
        <w:t>Sales Representative Information</w:t>
      </w:r>
    </w:p>
    <w:p>
      <w:pPr>
        <w:spacing w:after="120"/>
      </w:pPr>
      <w:r>
        <w:rPr>
          <w:rFonts w:ascii="Arial" w:hAnsi="Arial"/>
          <w:b w:val="0"/>
          <w:color w:val="222222"/>
          <w:sz w:val="22"/>
        </w:rPr>
        <w:t>Rahul Mehta, Employee ID EMP-10458, served as Senior Sales Manager during this deal closure. He can be contacted via email at rahul.mehta@turabit.com or by phone at +91 98765 43210. Rahul played a key role in managing client relationships and negotiations.</w:t>
      </w:r>
    </w:p>
    <w:p>
      <w:pPr>
        <w:spacing w:after="160"/>
      </w:pPr>
    </w:p>
    <w:p>
      <w:pPr>
        <w:spacing w:before="280" w:after="120"/>
      </w:pPr>
      <w:r>
        <w:rPr>
          <w:rFonts w:ascii="Arial" w:hAnsi="Arial"/>
          <w:b/>
          <w:color w:val="2E4057"/>
          <w:sz w:val="26"/>
        </w:rPr>
        <w:t>Client Information</w:t>
      </w:r>
    </w:p>
    <w:p>
      <w:pPr>
        <w:spacing w:after="120"/>
      </w:pPr>
      <w:r>
        <w:rPr>
          <w:rFonts w:ascii="Arial" w:hAnsi="Arial"/>
          <w:b w:val="0"/>
          <w:color w:val="222222"/>
          <w:sz w:val="22"/>
        </w:rPr>
        <w:t>Client contact is Rahul Mehta, Senior Sales Manager at turabit. Key decision makers include Priya Sharma, Director of Operations; Amit Khanna, Chief Technology Officer; and Neha Patel, Head of Procurement. Contract starts 01 April 2026 with a 12-month duration.</w:t>
      </w:r>
    </w:p>
    <w:p>
      <w:pPr>
        <w:spacing w:after="160"/>
      </w:pPr>
    </w:p>
    <w:p>
      <w:pPr>
        <w:spacing w:before="280" w:after="120"/>
      </w:pPr>
      <w:r>
        <w:rPr>
          <w:rFonts w:ascii="Arial" w:hAnsi="Arial"/>
          <w:b/>
          <w:color w:val="2E4057"/>
          <w:sz w:val="26"/>
        </w:rPr>
        <w:t>Deal Overview</w:t>
      </w:r>
    </w:p>
    <w:p>
      <w:pPr>
        <w:spacing w:after="120"/>
      </w:pPr>
      <w:r>
        <w:rPr>
          <w:rFonts w:ascii="Arial" w:hAnsi="Arial"/>
          <w:b w:val="0"/>
          <w:color w:val="222222"/>
          <w:sz w:val="22"/>
        </w:rPr>
        <w:t>The deal with Turabit encompasses a total value of USD 33,600, focusing on advanced technology and SaaS solutions. It includes the Turabit AI Documentation Platform enterprise license, workflow automation, custom AI configuration, API integration, implementation, and annual support services.</w:t>
      </w:r>
    </w:p>
    <w:p>
      <w:pPr>
        <w:spacing w:after="160"/>
      </w:pPr>
    </w:p>
    <w:p>
      <w:pPr>
        <w:spacing w:before="280" w:after="120"/>
      </w:pPr>
      <w:r>
        <w:rPr>
          <w:rFonts w:ascii="Arial" w:hAnsi="Arial"/>
          <w:b/>
          <w:color w:val="2E4057"/>
          <w:sz w:val="26"/>
        </w:rPr>
        <w:t>Products or Services Sold</w:t>
      </w:r>
    </w:p>
    <w:p>
      <w:pPr>
        <w:spacing w:after="80"/>
        <w:ind w:left="360"/>
      </w:pPr>
      <w:r>
        <w:rPr>
          <w:rFonts w:ascii="Arial" w:hAnsi="Arial"/>
          <w:b w:val="0"/>
          <w:color w:val="222222"/>
          <w:sz w:val="22"/>
        </w:rPr>
        <w:t>1. Turabit AI Documentation Platform Enterprise License for up to 200 users.</w:t>
      </w:r>
    </w:p>
    <w:p>
      <w:pPr>
        <w:spacing w:after="80"/>
        <w:ind w:left="360"/>
      </w:pPr>
      <w:r>
        <w:rPr>
          <w:rFonts w:ascii="Arial" w:hAnsi="Arial"/>
          <w:b w:val="0"/>
          <w:color w:val="222222"/>
          <w:sz w:val="22"/>
        </w:rPr>
        <w:t>2. Workflow Automation Suite Enterprise Package.</w:t>
      </w:r>
    </w:p>
    <w:p>
      <w:pPr>
        <w:spacing w:after="80"/>
        <w:ind w:left="360"/>
      </w:pPr>
      <w:r>
        <w:rPr>
          <w:rFonts w:ascii="Arial" w:hAnsi="Arial"/>
          <w:b w:val="0"/>
          <w:color w:val="222222"/>
          <w:sz w:val="22"/>
        </w:rPr>
        <w:t>3. Custom AI Model Configuration, API Integration Services, and Implementation Onboarding.</w:t>
      </w:r>
    </w:p>
    <w:p>
      <w:pPr>
        <w:spacing w:after="80"/>
        <w:ind w:left="360"/>
      </w:pPr>
      <w:r>
        <w:rPr>
          <w:rFonts w:ascii="Arial" w:hAnsi="Arial"/>
          <w:b w:val="0"/>
          <w:color w:val="222222"/>
          <w:sz w:val="22"/>
        </w:rPr>
        <w:t>4. Annual Technical Support, Additional User Licenses, and Advanced Analytics Module included.</w:t>
      </w:r>
    </w:p>
    <w:p>
      <w:pPr>
        <w:spacing w:after="160"/>
      </w:pPr>
    </w:p>
    <w:p>
      <w:pPr>
        <w:spacing w:before="280" w:after="120"/>
      </w:pPr>
      <w:r>
        <w:rPr>
          <w:rFonts w:ascii="Arial" w:hAnsi="Arial"/>
          <w:b/>
          <w:color w:val="2E4057"/>
          <w:sz w:val="26"/>
        </w:rPr>
        <w:t>Deal Value</w:t>
      </w:r>
    </w:p>
    <w:p>
      <w:pPr>
        <w:spacing w:after="120"/>
      </w:pPr>
      <w:r>
        <w:rPr>
          <w:rFonts w:ascii="Arial" w:hAnsi="Arial"/>
          <w:b w:val="0"/>
          <w:color w:val="222222"/>
          <w:sz w:val="22"/>
        </w:rPr>
        <w:t>The total deal value is USD 33,600. Payment is structured across six stages, including initial contract, implementation milestone, integration completion, platform license, support and maintenance, and final project settlement. Each payment follows specific terms and due dates aligned with project progress.</w:t>
      </w:r>
    </w:p>
    <w:p>
      <w:pPr>
        <w:spacing w:after="160"/>
      </w:pPr>
    </w:p>
    <w:p>
      <w:pPr>
        <w:spacing w:before="280" w:after="120"/>
      </w:pPr>
      <w:r>
        <w:rPr>
          <w:rFonts w:ascii="Arial" w:hAnsi="Arial"/>
          <w:b/>
          <w:color w:val="2E4057"/>
          <w:sz w:val="26"/>
        </w:rPr>
        <w:t>Sales Process Summary</w:t>
      </w:r>
    </w:p>
    <w:p>
      <w:pPr>
        <w:spacing w:after="120"/>
      </w:pPr>
      <w:r>
        <w:rPr>
          <w:rFonts w:ascii="Arial" w:hAnsi="Arial"/>
          <w:b w:val="0"/>
          <w:color w:val="222222"/>
          <w:sz w:val="22"/>
        </w:rPr>
        <w:t>turabit’s sales process includes lead identification, qualification, solution presentation, proposal, negotiation, closure, and implementation handoff. Key roles include SDRs, Account Executives, Sales Managers, and technical and support teams. Progress is tracked via lead conversion, win rates, sales cycle length, and customer retention.</w:t>
      </w:r>
    </w:p>
    <w:p>
      <w:pPr>
        <w:spacing w:after="160"/>
      </w:pPr>
    </w:p>
    <w:p>
      <w:pPr>
        <w:spacing w:before="280" w:after="120"/>
      </w:pPr>
      <w:r>
        <w:rPr>
          <w:rFonts w:ascii="Arial" w:hAnsi="Arial"/>
          <w:b/>
          <w:color w:val="2E4057"/>
          <w:sz w:val="26"/>
        </w:rPr>
        <w:t>Contract Terms Overview</w:t>
      </w:r>
    </w:p>
    <w:p>
      <w:pPr>
        <w:spacing w:after="120"/>
      </w:pPr>
      <w:r>
        <w:rPr>
          <w:rFonts w:ascii="Arial" w:hAnsi="Arial"/>
          <w:b w:val="0"/>
          <w:color w:val="222222"/>
          <w:sz w:val="22"/>
        </w:rPr>
        <w:t>The contract effective date is April 1, 2026, with service commencing April 3, 2026, and ending March 31, 2027. Renewal review is February 1, 2027, with potential renewal on April 1, 2027. Termination requires 30 days' notice for material breach. 1.</w:t>
      </w:r>
    </w:p>
    <w:p>
      <w:pPr>
        <w:spacing w:after="160"/>
      </w:pPr>
    </w:p>
    <w:p>
      <w:pPr>
        <w:spacing w:before="280" w:after="120"/>
      </w:pPr>
      <w:r>
        <w:rPr>
          <w:rFonts w:ascii="Arial" w:hAnsi="Arial"/>
          <w:b/>
          <w:color w:val="2E4057"/>
          <w:sz w:val="26"/>
        </w:rPr>
        <w:t>Revenue Impact</w:t>
      </w:r>
    </w:p>
    <w:p>
      <w:pPr>
        <w:spacing w:after="120"/>
      </w:pPr>
      <w:r>
        <w:rPr>
          <w:rFonts w:ascii="Arial" w:hAnsi="Arial"/>
          <w:b w:val="0"/>
          <w:color w:val="222222"/>
          <w:sz w:val="22"/>
        </w:rPr>
        <w:t>The deal is projected to increase quarterly enterprise SaaS revenue by USD 33,600, representing an estimated 12% growth. Revenue recognition is scheduled across Fiscal Year 2026–2027, beginning with license fees and concluding with recurring service revenues in Q1 FY2027.</w:t>
      </w:r>
    </w:p>
    <w:p>
      <w:pPr>
        <w:spacing w:after="160"/>
      </w:pPr>
    </w:p>
    <w:p>
      <w:pPr>
        <w:spacing w:before="280" w:after="120"/>
      </w:pPr>
      <w:r>
        <w:rPr>
          <w:rFonts w:ascii="Arial" w:hAnsi="Arial"/>
          <w:b/>
          <w:color w:val="2E4057"/>
          <w:sz w:val="26"/>
        </w:rPr>
        <w:t>Key Success Factors</w:t>
      </w:r>
    </w:p>
    <w:p>
      <w:pPr>
        <w:spacing w:after="80"/>
        <w:ind w:left="360"/>
      </w:pPr>
      <w:r>
        <w:rPr>
          <w:rFonts w:ascii="Arial" w:hAnsi="Arial"/>
          <w:b w:val="0"/>
          <w:color w:val="222222"/>
          <w:sz w:val="22"/>
        </w:rPr>
        <w:t>1. Effective client engagement and tailored solution presentation drove deal closure.</w:t>
      </w:r>
    </w:p>
    <w:p>
      <w:pPr>
        <w:spacing w:after="80"/>
        <w:ind w:left="360"/>
      </w:pPr>
      <w:r>
        <w:rPr>
          <w:rFonts w:ascii="Arial" w:hAnsi="Arial"/>
          <w:b w:val="0"/>
          <w:color w:val="222222"/>
          <w:sz w:val="22"/>
        </w:rPr>
        <w:t>2. Strategic pricing and timely follow-ups ensured competitive advantage.</w:t>
      </w:r>
    </w:p>
    <w:p>
      <w:pPr>
        <w:spacing w:after="80"/>
        <w:ind w:left="360"/>
      </w:pPr>
      <w:r>
        <w:rPr>
          <w:rFonts w:ascii="Arial" w:hAnsi="Arial"/>
          <w:b w:val="0"/>
          <w:color w:val="222222"/>
          <w:sz w:val="22"/>
        </w:rPr>
        <w:t>3. Overcoming technical integration concerns through collaborative problem-solving strengthened client trust and commitment.</w:t>
      </w:r>
    </w:p>
    <w:p>
      <w:pPr>
        <w:spacing w:after="160"/>
      </w:pPr>
    </w:p>
    <w:p>
      <w:pPr>
        <w:spacing w:before="280" w:after="120"/>
      </w:pPr>
      <w:r>
        <w:rPr>
          <w:rFonts w:ascii="Arial" w:hAnsi="Arial"/>
          <w:b/>
          <w:color w:val="2E4057"/>
          <w:sz w:val="26"/>
        </w:rPr>
        <w:t>Lessons Learned or Insights</w:t>
      </w:r>
    </w:p>
    <w:p>
      <w:pPr>
        <w:spacing w:after="120"/>
      </w:pPr>
      <w:r>
        <w:rPr>
          <w:rFonts w:ascii="Arial" w:hAnsi="Arial"/>
          <w:b w:val="0"/>
          <w:color w:val="222222"/>
          <w:sz w:val="22"/>
        </w:rPr>
        <w:t>Key challenges included intense market competition and evolving client requirements. Effective communication and tailored product demonstrations were critical strategies. Applying these insights improved client engagement and shortened sales cycles in subsequent deals, enhancing overall conversion rates and revenue growth for the region.</w:t>
      </w:r>
    </w:p>
    <w:p>
      <w:pPr>
        <w:spacing w:after="160"/>
      </w:pPr>
    </w:p>
    <w:p>
      <w:pPr>
        <w:spacing w:before="280" w:after="120"/>
      </w:pPr>
      <w:r>
        <w:rPr>
          <w:rFonts w:ascii="Arial" w:hAnsi="Arial"/>
          <w:b/>
          <w:color w:val="2E4057"/>
          <w:sz w:val="26"/>
        </w:rPr>
        <w:t>Manager Review and Approval</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Sales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Regional Sales Director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Finance Controller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Legal Counsel</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Deal Summary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Deal Summary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