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Renewal Agreement</w:t>
      </w:r>
    </w:p>
    <w:p>
      <w:pPr>
        <w:spacing w:after="240"/>
      </w:pPr>
      <w:r>
        <w:rPr>
          <w:rFonts w:ascii="Arial" w:hAnsi="Arial"/>
          <w:b w:val="0"/>
          <w:color w:val="888888"/>
          <w:sz w:val="20"/>
        </w:rPr>
        <w:t>turabit  ·  Sales  ·  India</w:t>
      </w:r>
    </w:p>
    <w:p>
      <w:pPr>
        <w:spacing w:after="280"/>
        <w:pBdr>
          <w:bottom w:val="single" w:sz="6" w:space="1" w:color="2E4057"/>
        </w:pBdr>
      </w:pPr>
    </w:p>
    <w:p>
      <w:pPr>
        <w:spacing w:before="280" w:after="120"/>
      </w:pPr>
      <w:r>
        <w:rPr>
          <w:rFonts w:ascii="Arial" w:hAnsi="Arial"/>
          <w:b/>
          <w:color w:val="2E4057"/>
          <w:sz w:val="26"/>
        </w:rPr>
        <w:t>Agreement Title and Date</w:t>
      </w:r>
    </w:p>
    <w:p>
      <w:pPr>
        <w:spacing w:after="120"/>
      </w:pPr>
      <w:r>
        <w:rPr>
          <w:rFonts w:ascii="Arial" w:hAnsi="Arial"/>
          <w:b w:val="0"/>
          <w:color w:val="222222"/>
          <w:sz w:val="22"/>
        </w:rPr>
        <w:t>The renewal agreement is titled Customer Subscription Renewal Agreement – Turabit Enterprise Automation Platform. This agreement renews the existing terms and conditions between the parties for continued use of Turabit’s technology and SaaS services. The effective date of this renewal agreement is 01 April 2027, marking the commencement of the renewed subscription period.</w:t>
      </w:r>
    </w:p>
    <w:p>
      <w:pPr>
        <w:spacing w:after="160"/>
      </w:pPr>
    </w:p>
    <w:p>
      <w:pPr>
        <w:spacing w:before="280" w:after="120"/>
      </w:pPr>
      <w:r>
        <w:rPr>
          <w:rFonts w:ascii="Arial" w:hAnsi="Arial"/>
          <w:b/>
          <w:color w:val="2E4057"/>
          <w:sz w:val="26"/>
        </w:rPr>
        <w:t>Parties to the Agreement</w:t>
      </w:r>
    </w:p>
    <w:p>
      <w:pPr>
        <w:spacing w:after="120"/>
      </w:pPr>
      <w:r>
        <w:rPr>
          <w:rFonts w:ascii="Arial" w:hAnsi="Arial"/>
          <w:b w:val="0"/>
          <w:color w:val="222222"/>
          <w:sz w:val="22"/>
        </w:rPr>
        <w:t>This Renewal Agreement is entered into by turabit, a technology SaaS company based in India, and ABC Technologies Private Limited, registered at 4th Floor, Business Tower, SG Highway, Ahmedabad, Gujarat 380015, India.</w:t>
      </w:r>
    </w:p>
    <w:p>
      <w:pPr>
        <w:spacing w:after="80"/>
      </w:pPr>
    </w:p>
    <w:p>
      <w:pPr>
        <w:spacing w:after="120"/>
      </w:pPr>
      <w:r>
        <w:rPr>
          <w:rFonts w:ascii="Arial" w:hAnsi="Arial"/>
          <w:b w:val="0"/>
          <w:color w:val="222222"/>
          <w:sz w:val="22"/>
        </w:rPr>
        <w:t>Authorized representatives signing are:</w:t>
      </w:r>
    </w:p>
    <w:p>
      <w:pPr>
        <w:spacing w:after="80"/>
      </w:pPr>
    </w:p>
    <w:p>
      <w:pPr>
        <w:spacing w:after="80"/>
        <w:ind w:left="360"/>
      </w:pPr>
      <w:r>
        <w:rPr>
          <w:rFonts w:ascii="Arial" w:hAnsi="Arial"/>
          <w:b w:val="0"/>
          <w:color w:val="222222"/>
          <w:sz w:val="22"/>
        </w:rPr>
        <w:t>1. Arjun Mehta, Chief Executive Officer, turabit</w:t>
      </w:r>
    </w:p>
    <w:p>
      <w:pPr>
        <w:spacing w:after="80"/>
        <w:ind w:left="360"/>
      </w:pPr>
      <w:r>
        <w:rPr>
          <w:rFonts w:ascii="Arial" w:hAnsi="Arial"/>
          <w:b w:val="0"/>
          <w:color w:val="222222"/>
          <w:sz w:val="22"/>
        </w:rPr>
        <w:t>2. Rohan Shah, Director of Operations, ABC Technologies Private Limited</w:t>
      </w:r>
    </w:p>
    <w:p>
      <w:pPr>
        <w:spacing w:after="160"/>
      </w:pPr>
    </w:p>
    <w:p>
      <w:pPr>
        <w:spacing w:before="280" w:after="120"/>
      </w:pPr>
      <w:r>
        <w:rPr>
          <w:rFonts w:ascii="Arial" w:hAnsi="Arial"/>
          <w:b/>
          <w:color w:val="2E4057"/>
          <w:sz w:val="26"/>
        </w:rPr>
        <w:t>Reference to Original Agreement</w:t>
      </w:r>
    </w:p>
    <w:p>
      <w:pPr>
        <w:spacing w:after="120"/>
      </w:pPr>
      <w:r>
        <w:rPr>
          <w:rFonts w:ascii="Arial" w:hAnsi="Arial"/>
          <w:b w:val="0"/>
          <w:color w:val="222222"/>
          <w:sz w:val="22"/>
        </w:rPr>
        <w:t>The Master Services Agreement dated 01 April 2024 is hereby referenced and incorporated. Key terms updated include: 1. Term and Renewal Clause 2. Service Scope 3. Pricing and Payment Terms 4. Service Level Agreements 5. Confidentiality and Data Protection 6. Termination Conditions 7. Liability and Indemnification. All remain effective as revised herein.</w:t>
      </w:r>
    </w:p>
    <w:p>
      <w:pPr>
        <w:spacing w:after="160"/>
      </w:pPr>
    </w:p>
    <w:p>
      <w:pPr>
        <w:spacing w:before="280" w:after="120"/>
      </w:pPr>
      <w:r>
        <w:rPr>
          <w:rFonts w:ascii="Arial" w:hAnsi="Arial"/>
          <w:b/>
          <w:color w:val="2E4057"/>
          <w:sz w:val="26"/>
        </w:rPr>
        <w:t>Purpose of Renewal</w:t>
      </w:r>
    </w:p>
    <w:p>
      <w:pPr>
        <w:spacing w:after="120"/>
      </w:pPr>
      <w:r>
        <w:rPr>
          <w:rFonts w:ascii="Arial" w:hAnsi="Arial"/>
          <w:b w:val="0"/>
          <w:color w:val="222222"/>
          <w:sz w:val="22"/>
        </w:rPr>
        <w:t>The renewal agreement aims to ensure continuity of services and support, strengthen the strategic partnership, and align service delivery with updated requirements. Key changes include 1. expanded technical support, 2. updated pricing, 3. revised SLAs, 4. enhanced reporting, and 5. extended term with updated dates to improve performance and compliance.</w:t>
      </w:r>
    </w:p>
    <w:p>
      <w:pPr>
        <w:spacing w:after="160"/>
      </w:pPr>
    </w:p>
    <w:p>
      <w:pPr>
        <w:spacing w:before="280" w:after="120"/>
      </w:pPr>
      <w:r>
        <w:rPr>
          <w:rFonts w:ascii="Arial" w:hAnsi="Arial"/>
          <w:b/>
          <w:color w:val="2E4057"/>
          <w:sz w:val="26"/>
        </w:rPr>
        <w:t>Updated Terms and Conditions</w:t>
      </w:r>
    </w:p>
    <w:p>
      <w:pPr>
        <w:spacing w:after="120"/>
      </w:pPr>
      <w:r>
        <w:rPr>
          <w:rFonts w:ascii="Arial" w:hAnsi="Arial"/>
          <w:b w:val="0"/>
          <w:color w:val="222222"/>
          <w:sz w:val="22"/>
        </w:rPr>
        <w:t>The updated terms and conditions, effective 01 April 2026, include:</w:t>
      </w:r>
    </w:p>
    <w:p>
      <w:pPr>
        <w:spacing w:after="80"/>
      </w:pPr>
    </w:p>
    <w:p>
      <w:pPr>
        <w:spacing w:after="80"/>
        <w:ind w:left="360"/>
      </w:pPr>
      <w:r>
        <w:rPr>
          <w:rFonts w:ascii="Arial" w:hAnsi="Arial"/>
          <w:b w:val="0"/>
          <w:color w:val="222222"/>
          <w:sz w:val="22"/>
        </w:rPr>
        <w:t>1. Extension of the agreement term with new dates</w:t>
      </w:r>
    </w:p>
    <w:p>
      <w:pPr>
        <w:spacing w:after="80"/>
        <w:ind w:left="360"/>
      </w:pPr>
      <w:r>
        <w:rPr>
          <w:rFonts w:ascii="Arial" w:hAnsi="Arial"/>
          <w:b w:val="0"/>
          <w:color w:val="222222"/>
          <w:sz w:val="22"/>
        </w:rPr>
        <w:t>2. Revised pricing, invoicing, and payment schedules</w:t>
      </w:r>
    </w:p>
    <w:p>
      <w:pPr>
        <w:spacing w:after="80"/>
        <w:ind w:left="360"/>
      </w:pPr>
      <w:r>
        <w:rPr>
          <w:rFonts w:ascii="Arial" w:hAnsi="Arial"/>
          <w:b w:val="0"/>
          <w:color w:val="222222"/>
          <w:sz w:val="22"/>
        </w:rPr>
        <w:t>3. Updated SLAs with defined metrics and escalation</w:t>
      </w:r>
    </w:p>
    <w:p>
      <w:pPr>
        <w:spacing w:after="80"/>
        <w:ind w:left="360"/>
      </w:pPr>
      <w:r>
        <w:rPr>
          <w:rFonts w:ascii="Arial" w:hAnsi="Arial"/>
          <w:b w:val="0"/>
          <w:color w:val="222222"/>
          <w:sz w:val="22"/>
        </w:rPr>
        <w:t>4. Expanded scope of services</w:t>
      </w:r>
    </w:p>
    <w:p>
      <w:pPr>
        <w:spacing w:after="80"/>
        <w:ind w:left="360"/>
      </w:pPr>
      <w:r>
        <w:rPr>
          <w:rFonts w:ascii="Arial" w:hAnsi="Arial"/>
          <w:b w:val="0"/>
          <w:color w:val="222222"/>
          <w:sz w:val="22"/>
        </w:rPr>
        <w:t>5. Enhanced data protection compliance</w:t>
      </w:r>
    </w:p>
    <w:p>
      <w:pPr>
        <w:spacing w:after="80"/>
        <w:ind w:left="360"/>
      </w:pPr>
      <w:r>
        <w:rPr>
          <w:rFonts w:ascii="Arial" w:hAnsi="Arial"/>
          <w:b w:val="0"/>
          <w:color w:val="222222"/>
          <w:sz w:val="22"/>
        </w:rPr>
        <w:t>6. Modified termination provisions</w:t>
      </w:r>
    </w:p>
    <w:p>
      <w:pPr>
        <w:spacing w:after="80"/>
        <w:ind w:left="360"/>
      </w:pPr>
      <w:r>
        <w:rPr>
          <w:rFonts w:ascii="Arial" w:hAnsi="Arial"/>
          <w:b w:val="0"/>
          <w:color w:val="222222"/>
          <w:sz w:val="22"/>
        </w:rPr>
        <w:t>7. Updated liability and indemnification clauses</w:t>
      </w:r>
    </w:p>
    <w:p>
      <w:pPr>
        <w:spacing w:after="160"/>
      </w:pPr>
    </w:p>
    <w:p>
      <w:pPr>
        <w:spacing w:before="280" w:after="120"/>
      </w:pPr>
      <w:r>
        <w:rPr>
          <w:rFonts w:ascii="Arial" w:hAnsi="Arial"/>
          <w:b/>
          <w:color w:val="2E4057"/>
          <w:sz w:val="26"/>
        </w:rPr>
        <w:t>Renewed Service or Product Details</w:t>
      </w:r>
    </w:p>
    <w:p>
      <w:pPr>
        <w:spacing w:after="120"/>
      </w:pPr>
      <w:r>
        <w:rPr>
          <w:rFonts w:ascii="Arial" w:hAnsi="Arial"/>
          <w:b w:val="0"/>
          <w:color w:val="222222"/>
          <w:sz w:val="22"/>
        </w:rPr>
        <w:t>The renewal covers the following services for a 12-month term starting 01 April 2026:</w:t>
      </w:r>
    </w:p>
    <w:p>
      <w:pPr>
        <w:spacing w:after="80"/>
      </w:pPr>
    </w:p>
    <w:p>
      <w:pPr>
        <w:spacing w:after="80"/>
        <w:ind w:left="360"/>
      </w:pPr>
      <w:r>
        <w:rPr>
          <w:rFonts w:ascii="Arial" w:hAnsi="Arial"/>
          <w:b w:val="0"/>
          <w:color w:val="222222"/>
          <w:sz w:val="22"/>
        </w:rPr>
        <w:t>1. Enterprise documentation automation and document generation services</w:t>
      </w:r>
    </w:p>
    <w:p>
      <w:pPr>
        <w:spacing w:after="80"/>
        <w:ind w:left="360"/>
      </w:pPr>
      <w:r>
        <w:rPr>
          <w:rFonts w:ascii="Arial" w:hAnsi="Arial"/>
          <w:b w:val="0"/>
          <w:color w:val="222222"/>
          <w:sz w:val="22"/>
        </w:rPr>
        <w:t>2. Workflow automation and integration support</w:t>
      </w:r>
    </w:p>
    <w:p>
      <w:pPr>
        <w:spacing w:after="80"/>
        <w:ind w:left="360"/>
      </w:pPr>
      <w:r>
        <w:rPr>
          <w:rFonts w:ascii="Arial" w:hAnsi="Arial"/>
          <w:b w:val="0"/>
          <w:color w:val="222222"/>
          <w:sz w:val="22"/>
        </w:rPr>
        <w:t>3. System maintenance and technical support services</w:t>
      </w:r>
    </w:p>
    <w:p>
      <w:pPr>
        <w:spacing w:after="80"/>
        <w:ind w:left="360"/>
      </w:pPr>
      <w:r>
        <w:rPr>
          <w:rFonts w:ascii="Arial" w:hAnsi="Arial"/>
          <w:b w:val="0"/>
          <w:color w:val="222222"/>
          <w:sz w:val="22"/>
        </w:rPr>
        <w:t>4. Data management and document storage solutions</w:t>
      </w:r>
    </w:p>
    <w:p>
      <w:pPr>
        <w:spacing w:after="80"/>
        <w:ind w:left="360"/>
      </w:pPr>
      <w:r>
        <w:rPr>
          <w:rFonts w:ascii="Arial" w:hAnsi="Arial"/>
          <w:b w:val="0"/>
          <w:color w:val="222222"/>
          <w:sz w:val="22"/>
        </w:rPr>
        <w:t>5. Performance monitoring and reporting services</w:t>
      </w:r>
    </w:p>
    <w:p>
      <w:pPr>
        <w:spacing w:after="80"/>
        <w:ind w:left="360"/>
      </w:pPr>
      <w:r>
        <w:rPr>
          <w:rFonts w:ascii="Arial" w:hAnsi="Arial"/>
          <w:b w:val="0"/>
          <w:color w:val="222222"/>
          <w:sz w:val="22"/>
        </w:rPr>
        <w:t>6. Security compliance and access management support</w:t>
      </w:r>
    </w:p>
    <w:p>
      <w:pPr>
        <w:spacing w:after="160"/>
      </w:pPr>
    </w:p>
    <w:p>
      <w:pPr>
        <w:spacing w:before="280" w:after="120"/>
      </w:pPr>
      <w:r>
        <w:rPr>
          <w:rFonts w:ascii="Arial" w:hAnsi="Arial"/>
          <w:b/>
          <w:color w:val="2E4057"/>
          <w:sz w:val="26"/>
        </w:rPr>
        <w:t>Pricing and Payment Terms</w:t>
      </w:r>
    </w:p>
    <w:p>
      <w:pPr>
        <w:spacing w:after="120"/>
      </w:pPr>
      <w:r>
        <w:rPr>
          <w:rFonts w:ascii="Arial" w:hAnsi="Arial"/>
          <w:b w:val="0"/>
          <w:color w:val="222222"/>
          <w:sz w:val="22"/>
        </w:rPr>
        <w:t>The following table outlines the pricing tiers, monthly fees, included user counts, and overage fees applicable under this Renewal Agreement.</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Tier 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Monthly Subscription Fee (USD)</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Included Users</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Overage Fee per Additional User (USD)</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Starter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49</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5</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8</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Professional</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129</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Business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299</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Enterprise</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699</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100</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5</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Enterprise Plus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1,299</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250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Global Enterprise</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2,499</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500</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w:t>
            </w:r>
          </w:p>
        </w:tc>
      </w:tr>
    </w:tbl>
    <w:p>
      <w:pPr>
        <w:spacing w:after="120"/>
      </w:pPr>
    </w:p>
    <w:p>
      <w:pPr>
        <w:spacing w:after="80"/>
      </w:pPr>
    </w:p>
    <w:p>
      <w:pPr>
        <w:spacing w:after="120"/>
      </w:pPr>
      <w:r>
        <w:rPr>
          <w:rFonts w:ascii="Arial" w:hAnsi="Arial"/>
          <w:b w:val="0"/>
          <w:color w:val="222222"/>
          <w:sz w:val="22"/>
        </w:rPr>
        <w:t>Accepted payment methods and their respective terms are detailed below.</w:t>
      </w:r>
    </w:p>
    <w:p>
      <w:pPr>
        <w:spacing w:after="80"/>
      </w:pPr>
    </w:p>
    <w:tbl>
      <w:tblPr>
        <w:tblW w:type="auto" w:w="0"/>
        <w:jc w:val="left"/>
        <w:tblLook w:firstColumn="1" w:firstRow="1" w:lastColumn="0" w:lastRow="0" w:noHBand="0" w:noVBand="1" w:val="04A0"/>
      </w:tblPr>
      <w:tblGrid>
        <w:gridCol w:w="3120"/>
        <w:gridCol w:w="3120"/>
        <w:gridCol w:w="3120"/>
      </w:tblGrid>
      <w:tr>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Payment Method</w:t>
            </w:r>
          </w:p>
        </w:tc>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Payment Terms</w:t>
            </w:r>
          </w:p>
        </w:tc>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Processing Details</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Bank Wire Transfer</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Net 30</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Payment due within 30 days of invoice issuance via corporate bank transfer.</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ACH Transfer</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Net 15</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Electronic transfer through Automated Clearing House with payment due within 15 days.</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Corporate Credit Card</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Immediate</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Payment processed at time of invoice issuance using authorized corporate card.</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International SWIFT Transfer</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Net 30</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Cross-border payment via SWIFT network within 30 days of invoice date.</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Online Payment Gateway</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Net 7</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Payment through secure payment portal within 7 days of invoice issuance.</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Annual Prepaid Invoice</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Due Upon Receipt</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Full annual subscription payment required immediately upon invoice receipt.</w:t>
            </w:r>
          </w:p>
        </w:tc>
      </w:tr>
    </w:tbl>
    <w:p>
      <w:pPr>
        <w:spacing w:after="120"/>
      </w:pPr>
    </w:p>
    <w:p>
      <w:pPr>
        <w:spacing w:after="80"/>
      </w:pPr>
    </w:p>
    <w:p>
      <w:pPr>
        <w:spacing w:after="120"/>
      </w:pPr>
      <w:r>
        <w:rPr>
          <w:rFonts w:ascii="Arial" w:hAnsi="Arial"/>
          <w:b w:val="0"/>
          <w:color w:val="222222"/>
          <w:sz w:val="22"/>
        </w:rPr>
        <w:t>The table below summarizes all available discounts and promotional offers applicable during the renewal period.</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Discount 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Discount Value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Eligibility Criteria</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Validity Period</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Early Renewal Discount</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10% Off</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Applied when renewal agreement is signed at least 60 days before contract expiration.</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01 January 2026 – 31 March 2026</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Annual Prepayment Discount</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 Off</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Available for customers who choose annual prepaid billing instead of monthly billing.</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01 April 2026 – 31 March 2027</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Enterprise Volume Discount</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 Off</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Applicable for organizations purchasing 250 or more user licenses.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01 April 2026 – 31 March 2027</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Strategic Partner Discount</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 Off</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Offered to approved strategic partners under long-term collaboration agreements.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01 April 2026 – 31 March 2028</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Promotional Launch Offer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USD 100 Credit</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One-time service credit applied to the first invoice for new enterprise subscriptions.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01 April 2026 – 30 September 2026</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Multi-Year Commitment Discount</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18% Off</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Available for customers committing to a 3-year service agreement.</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01 April 2026 – 31 March 2029</w:t>
            </w:r>
          </w:p>
        </w:tc>
      </w:tr>
    </w:tbl>
    <w:p>
      <w:pPr>
        <w:spacing w:after="120"/>
      </w:pPr>
    </w:p>
    <w:p>
      <w:pPr>
        <w:spacing w:after="160"/>
      </w:pPr>
    </w:p>
    <w:p>
      <w:pPr>
        <w:spacing w:before="280" w:after="120"/>
      </w:pPr>
      <w:r>
        <w:rPr>
          <w:rFonts w:ascii="Arial" w:hAnsi="Arial"/>
          <w:b/>
          <w:color w:val="2E4057"/>
          <w:sz w:val="26"/>
        </w:rPr>
        <w:t>Renewal Period and Duration</w:t>
      </w:r>
    </w:p>
    <w:p>
      <w:pPr>
        <w:spacing w:after="120"/>
      </w:pPr>
      <w:r>
        <w:rPr>
          <w:rFonts w:ascii="Arial" w:hAnsi="Arial"/>
          <w:b w:val="0"/>
          <w:color w:val="222222"/>
          <w:sz w:val="22"/>
        </w:rPr>
        <w:t>The renewal period for this agreement shall commence on 01 April 2026. The duration of the renewal term shall be twelve (12) months. Upon expiration, the agreement may be subject to further renewal as mutually agreed in writing by both parties in accordance with the terms and conditions set forth herein.</w:t>
      </w:r>
    </w:p>
    <w:p>
      <w:pPr>
        <w:spacing w:after="160"/>
      </w:pPr>
    </w:p>
    <w:p>
      <w:pPr>
        <w:spacing w:before="280" w:after="120"/>
      </w:pPr>
      <w:r>
        <w:rPr>
          <w:rFonts w:ascii="Arial" w:hAnsi="Arial"/>
          <w:b/>
          <w:color w:val="2E4057"/>
          <w:sz w:val="26"/>
        </w:rPr>
        <w:t>Termination or Cancellation Terms</w:t>
      </w:r>
    </w:p>
    <w:p>
      <w:pPr>
        <w:spacing w:after="120"/>
      </w:pPr>
      <w:r>
        <w:rPr>
          <w:rFonts w:ascii="Arial" w:hAnsi="Arial"/>
          <w:b w:val="0"/>
          <w:color w:val="222222"/>
          <w:sz w:val="22"/>
        </w:rPr>
        <w:t>Either party may terminate by providing 30 days prior written notice. Early termination fees apply as follows: termination within 3 months incurs 50% of remaining contract value; after 3 months, 30%. Failure to provide notice incurs one month’s service fee. Violation of terms requires full outstanding payment. Mutual or regulatory terminations may waive fees. Approval requires Employee Relations, HR, and Legal.</w:t>
      </w:r>
    </w:p>
    <w:p>
      <w:pPr>
        <w:spacing w:after="160"/>
      </w:pPr>
    </w:p>
    <w:p>
      <w:pPr>
        <w:spacing w:before="280" w:after="120"/>
      </w:pPr>
      <w:r>
        <w:rPr>
          <w:rFonts w:ascii="Arial" w:hAnsi="Arial"/>
          <w:b/>
          <w:color w:val="2E4057"/>
          <w:sz w:val="26"/>
        </w:rPr>
        <w:t>Governing Law</w:t>
      </w:r>
    </w:p>
    <w:p>
      <w:pPr>
        <w:spacing w:after="120"/>
      </w:pPr>
      <w:r>
        <w:rPr>
          <w:rFonts w:ascii="Arial" w:hAnsi="Arial"/>
          <w:b w:val="0"/>
          <w:color w:val="222222"/>
          <w:sz w:val="22"/>
        </w:rPr>
        <w:t>The Renewal Agreement shall be governed by and construed in accordance with the laws of the jurisdiction mutually agreed upon by the parties prior to execution. If no agreement is reached, the laws of the Republic of India shall apply. Parties hereby submit to the exclusive jurisdiction of courts located within India for any disputes arising hereunder.</w:t>
      </w:r>
    </w:p>
    <w:p>
      <w:pPr>
        <w:spacing w:after="160"/>
      </w:pPr>
    </w:p>
    <w:p>
      <w:pPr>
        <w:spacing w:before="280" w:after="120"/>
      </w:pPr>
      <w:r>
        <w:rPr>
          <w:rFonts w:ascii="Arial" w:hAnsi="Arial"/>
          <w:b/>
          <w:color w:val="2E4057"/>
          <w:sz w:val="26"/>
        </w:rPr>
        <w:t>Signatures of Both Parties</w:t>
      </w:r>
    </w:p>
    <w:p>
      <w:pPr>
        <w:spacing w:after="120"/>
      </w:pPr>
      <w:r>
        <w:rPr>
          <w:rFonts w:ascii="Arial" w:hAnsi="Arial"/>
          <w:b w:val="0"/>
          <w:color w:val="222222"/>
          <w:sz w:val="22"/>
        </w:rPr>
        <w:t>This document requires the following authorised signatures for formal approval and execution.</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Sales Director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Account Manager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Legal Counsel</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Finance Manager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Renewal Agreement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Renewal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