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Sales Agreement</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Agreement Title and Date</w:t>
      </w:r>
    </w:p>
    <w:p>
      <w:pPr>
        <w:spacing w:after="120"/>
      </w:pPr>
      <w:r>
        <w:rPr>
          <w:rFonts w:ascii="Arial" w:hAnsi="Arial"/>
          <w:b w:val="0"/>
          <w:color w:val="222222"/>
          <w:sz w:val="22"/>
        </w:rPr>
        <w:t>The agreement entered into between Turabit and the Customer shall be formally titled the Turabit Enterprise Software Sales Agreement. The effective date of this Sales Agreement is 01 April 2026. All rights, obligations, and terms within this document shall be applicable and enforceable from this date forward, ensuring clarity and mutual understanding for both parties involved.</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Sales Agreement is entered into between Turabit Technologies Pvt. Ltd., a Private Limited Company incorporated under the Companies Act, 2013, India, and Apex Digital Solutions Private Limited, located at Unit 502, Tech Park Tower B, Electronic City Phase I, Bengaluru, Karnataka 560100, India.</w:t>
      </w:r>
    </w:p>
    <w:p>
      <w:pPr>
        <w:spacing w:after="80"/>
      </w:pPr>
    </w:p>
    <w:p>
      <w:pPr>
        <w:spacing w:after="120"/>
      </w:pPr>
      <w:r>
        <w:rPr>
          <w:rFonts w:ascii="Arial" w:hAnsi="Arial"/>
          <w:b w:val="0"/>
          <w:color w:val="222222"/>
          <w:sz w:val="22"/>
        </w:rPr>
        <w:t>Authorized signatories are Rahul Mehta, Chief Executive Officer, and Priya Sharma, Director of Operations.</w:t>
      </w:r>
    </w:p>
    <w:p>
      <w:pPr>
        <w:spacing w:after="160"/>
      </w:pPr>
    </w:p>
    <w:p>
      <w:pPr>
        <w:spacing w:before="280" w:after="120"/>
      </w:pPr>
      <w:r>
        <w:rPr>
          <w:rFonts w:ascii="Arial" w:hAnsi="Arial"/>
          <w:b/>
          <w:color w:val="2E4057"/>
          <w:sz w:val="26"/>
        </w:rPr>
        <w:t>Purpose of the Agreement</w:t>
      </w:r>
    </w:p>
    <w:p>
      <w:pPr>
        <w:spacing w:after="120"/>
      </w:pPr>
      <w:r>
        <w:rPr>
          <w:rFonts w:ascii="Arial" w:hAnsi="Arial"/>
          <w:b w:val="0"/>
          <w:color w:val="222222"/>
          <w:sz w:val="22"/>
        </w:rPr>
        <w:t>The purpose of this Agreement is to establish terms for the sale and delivery of Turabit’s AI documentation automation platform, workflow tools, custom AI configurations, API integrations, data processing, and support services. It aims to enable customers to enhance document creation, streamline operations, ensure system compatibility, and achieve scalable automation within enterprise environments.</w:t>
      </w:r>
    </w:p>
    <w:p>
      <w:pPr>
        <w:spacing w:after="160"/>
      </w:pPr>
    </w:p>
    <w:p>
      <w:pPr>
        <w:spacing w:before="280" w:after="120"/>
      </w:pPr>
      <w:r>
        <w:rPr>
          <w:rFonts w:ascii="Arial" w:hAnsi="Arial"/>
          <w:b/>
          <w:color w:val="2E4057"/>
          <w:sz w:val="26"/>
        </w:rPr>
        <w:t>Product or Service Details</w:t>
      </w:r>
    </w:p>
    <w:p>
      <w:pPr>
        <w:spacing w:after="120"/>
      </w:pPr>
      <w:r>
        <w:rPr>
          <w:rFonts w:ascii="Arial" w:hAnsi="Arial"/>
          <w:b w:val="0"/>
          <w:color w:val="222222"/>
          <w:sz w:val="22"/>
        </w:rPr>
        <w:t>The agreement covers the Turabit AI Documentation Platform, Workflow Automation Suite, Custom AI Model Configuration, API Integration Services, Implementation and Onboarding Services, Technical Support and Maintenance, Additional User Access Licenses, and an Optional Advanced Analytics Module.</w:t>
      </w:r>
    </w:p>
    <w:p>
      <w:pPr>
        <w:spacing w:after="80"/>
      </w:pPr>
    </w:p>
    <w:p>
      <w:pPr>
        <w:spacing w:after="120"/>
      </w:pPr>
      <w:r>
        <w:rPr>
          <w:rFonts w:ascii="Arial" w:hAnsi="Arial"/>
          <w:b w:val="0"/>
          <w:color w:val="222222"/>
          <w:sz w:val="22"/>
        </w:rPr>
        <w:t>Service levels include 99.5% uptime, technical support, regular maintenance, a 60-day implementation warranty, and industry-standard data security.</w:t>
      </w:r>
    </w:p>
    <w:p>
      <w:pPr>
        <w:spacing w:after="160"/>
      </w:pPr>
    </w:p>
    <w:p>
      <w:pPr>
        <w:spacing w:before="280" w:after="120"/>
      </w:pPr>
      <w:r>
        <w:rPr>
          <w:rFonts w:ascii="Arial" w:hAnsi="Arial"/>
          <w:b/>
          <w:color w:val="2E4057"/>
          <w:sz w:val="26"/>
        </w:rPr>
        <w:t>Pricing and Payment Terms</w:t>
      </w:r>
    </w:p>
    <w:p>
      <w:pPr>
        <w:spacing w:after="120"/>
      </w:pPr>
      <w:r>
        <w:rPr>
          <w:rFonts w:ascii="Arial" w:hAnsi="Arial"/>
          <w:b w:val="0"/>
          <w:color w:val="222222"/>
          <w:sz w:val="22"/>
        </w:rPr>
        <w:t>The following table outlines the pricing tiers, payment methods, terms, and additional fees applicable under this Sales Agreement.</w:t>
      </w:r>
    </w:p>
    <w:p>
      <w:pPr>
        <w:spacing w:after="80"/>
      </w:pP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Category</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Description</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Details / Terms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Pricing Tier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Starter Tier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 per user, minimum 25 users, 5% discount for annual billing</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Pricing Tier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Professional Tier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 per user, minimum 50 users, 10% discount for annual billing</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Pricing Tier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Business Tier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 per user, minimum 100 users, 12% discount for annual billing</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Pricing Tier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 Tier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$60 per user, minimum 200 users, 15% discount for annual billing</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Pricing Tier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 Plus Tier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 per user, minimum 500 users, 18% discount for annual billing</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Pricing Tier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Global Enterprise Tier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 per user, minimum 1000 users, 20% discount for multi-year contract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Method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Bank Transfer (Wire Transfer)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Invoice due within 30 days of invoice date</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Method</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Corporate Credit Card</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Automated charge due immediately upon billing</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Method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ACH Transfer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Electronic debit due within 15 days of invoice date</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Method</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International SWIFT Transfer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Invoice due within 30 days of invoice date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Method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Online Payment Gateway</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due upon invoice receipt</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Method</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Prepaid Annual Payment</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Full payment due prior to service activation</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Fees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Implementation Fee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 charged at project initiation</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Fees</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Custom Integration Fee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$2,500 charged per integration project</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Fees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Late Payment Fee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 per month penalty applied after payment due date</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Fees</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Data Migration Fee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 charged during onboarding phase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Fees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Storage Fee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$0.10 per GB per month charged when storage limits exceeded</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Fees</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Priority Support Fee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$1,200 per year applied when priority support plan selected</w:t>
            </w:r>
          </w:p>
        </w:tc>
      </w:tr>
    </w:tbl>
    <w:p>
      <w:pPr>
        <w:spacing w:after="120"/>
      </w:pPr>
    </w:p>
    <w:p>
      <w:pPr>
        <w:spacing w:after="160"/>
      </w:pPr>
    </w:p>
    <w:p>
      <w:pPr>
        <w:spacing w:before="280" w:after="120"/>
      </w:pPr>
      <w:r>
        <w:rPr>
          <w:rFonts w:ascii="Arial" w:hAnsi="Arial"/>
          <w:b/>
          <w:color w:val="2E4057"/>
          <w:sz w:val="26"/>
        </w:rPr>
        <w:t>Delivery or Service Terms</w:t>
      </w:r>
    </w:p>
    <w:p>
      <w:pPr>
        <w:spacing w:after="120"/>
      </w:pPr>
      <w:r>
        <w:rPr>
          <w:rFonts w:ascii="Arial" w:hAnsi="Arial"/>
          <w:b w:val="0"/>
          <w:color w:val="222222"/>
          <w:sz w:val="22"/>
        </w:rPr>
        <w:t>Delivery timelines include platform access within 2–3 business days post-payment, onboarding within 5–7 days, and custom setups within 10–30 days per scope. Services are cloud-based with 99.5% uptime. Risk transfers upon access provision. Acceptance follows milestone confirmation. Turabit remedies delays or failures promptly; unresolved issues may allow customer remedies under agreement terms.</w:t>
      </w:r>
    </w:p>
    <w:p>
      <w:pPr>
        <w:spacing w:after="160"/>
      </w:pPr>
    </w:p>
    <w:p>
      <w:pPr>
        <w:spacing w:before="280" w:after="120"/>
      </w:pPr>
      <w:r>
        <w:rPr>
          <w:rFonts w:ascii="Arial" w:hAnsi="Arial"/>
          <w:b/>
          <w:color w:val="2E4057"/>
          <w:sz w:val="26"/>
        </w:rPr>
        <w:t>Customer Responsibilities</w:t>
      </w:r>
    </w:p>
    <w:p>
      <w:pPr>
        <w:spacing w:after="120"/>
      </w:pPr>
      <w:r>
        <w:rPr>
          <w:rFonts w:ascii="Arial" w:hAnsi="Arial"/>
          <w:b w:val="0"/>
          <w:color w:val="222222"/>
          <w:sz w:val="22"/>
        </w:rPr>
        <w:t>The customer shall provide accurate information, ensure timely payment, and comply with usage guidelines. They must cooperate with turabit for implementation and support. Deadlines for deliverables will be mutually agreed upon. Failure to meet responsibilities may result in service delays, suspension, or termination, without liability to turabit. Customers remain accountable for all authorized usage and data security.</w:t>
      </w:r>
    </w:p>
    <w:p>
      <w:pPr>
        <w:spacing w:after="160"/>
      </w:pPr>
    </w:p>
    <w:p>
      <w:pPr>
        <w:spacing w:before="280" w:after="120"/>
      </w:pPr>
      <w:r>
        <w:rPr>
          <w:rFonts w:ascii="Arial" w:hAnsi="Arial"/>
          <w:b/>
          <w:color w:val="2E4057"/>
          <w:sz w:val="26"/>
        </w:rPr>
        <w:t>Warranty or Support Terms</w:t>
      </w:r>
    </w:p>
    <w:p>
      <w:pPr>
        <w:spacing w:after="120"/>
      </w:pPr>
      <w:r>
        <w:rPr>
          <w:rFonts w:ascii="Arial" w:hAnsi="Arial"/>
          <w:b w:val="0"/>
          <w:color w:val="222222"/>
          <w:sz w:val="22"/>
        </w:rPr>
        <w:t>turabit warrants its products and services against defects for a period of 12 months from delivery. Support services include 24/7 technical assistance, software updates, and routine maintenance with a 4-hour response time for critical issues.</w:t>
      </w:r>
    </w:p>
    <w:p>
      <w:pPr>
        <w:spacing w:after="80"/>
      </w:pPr>
    </w:p>
    <w:p>
      <w:pPr>
        <w:spacing w:after="120"/>
      </w:pPr>
      <w:r>
        <w:rPr>
          <w:rFonts w:ascii="Arial" w:hAnsi="Arial"/>
          <w:b w:val="0"/>
          <w:color w:val="222222"/>
          <w:sz w:val="22"/>
        </w:rPr>
        <w:t>Warranty and support exclude damages from misuse, unauthorized modifications, or external factors beyond turabit’s control. Terms are subject to change with prior notice.</w:t>
      </w:r>
    </w:p>
    <w:p>
      <w:pPr>
        <w:spacing w:after="160"/>
      </w:pPr>
    </w:p>
    <w:p>
      <w:pPr>
        <w:spacing w:before="280" w:after="120"/>
      </w:pPr>
      <w:r>
        <w:rPr>
          <w:rFonts w:ascii="Arial" w:hAnsi="Arial"/>
          <w:b/>
          <w:color w:val="2E4057"/>
          <w:sz w:val="26"/>
        </w:rPr>
        <w:t>Cancellation or Termination Conditions</w:t>
      </w:r>
    </w:p>
    <w:p>
      <w:pPr>
        <w:spacing w:after="120"/>
      </w:pPr>
      <w:r>
        <w:rPr>
          <w:rFonts w:ascii="Arial" w:hAnsi="Arial"/>
          <w:b w:val="0"/>
          <w:color w:val="222222"/>
          <w:sz w:val="22"/>
        </w:rPr>
        <w:t>Either party may terminate the agreement upon material breach, insolvency, or mutual consent. A written notice of 30 days via email or registered post is required. Cancellation may incur fees for services rendered or non-cancellable commitments. All outstanding payments shall remain due. Termination does not affect accrued rights or obligations unless otherwise agreed in writing.</w:t>
      </w:r>
    </w:p>
    <w:p>
      <w:pPr>
        <w:spacing w:after="160"/>
      </w:pPr>
    </w:p>
    <w:p>
      <w:pPr>
        <w:spacing w:before="280" w:after="120"/>
      </w:pPr>
      <w:r>
        <w:rPr>
          <w:rFonts w:ascii="Arial" w:hAnsi="Arial"/>
          <w:b/>
          <w:color w:val="2E4057"/>
          <w:sz w:val="26"/>
        </w:rPr>
        <w:t>Dispute Resolution</w:t>
      </w:r>
    </w:p>
    <w:p>
      <w:pPr>
        <w:spacing w:after="120"/>
      </w:pPr>
      <w:r>
        <w:rPr>
          <w:rFonts w:ascii="Arial" w:hAnsi="Arial"/>
          <w:b w:val="0"/>
          <w:color w:val="222222"/>
          <w:sz w:val="22"/>
        </w:rPr>
        <w:t>Any disputes arising from or related to this Agreement shall be resolved amicably through good faith negotiations between the parties. If unresolved within 30 days, disputes shall be referred to arbitration in accordance with the Arbitration and Conciliation Act, 1996, in India. The governing law shall be the laws of India. Notice of dispute must be provided in writing promptly.</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The interpretation, construction, and enforcement of this Sales Agreement shall be governed by and construed in accordance with the laws of the State of Maharashtra, India, without regard to its conflict of law principles. Both parties agree to submit to the exclusive jurisdiction of the courts located in Mumbai for any disputes arising out of or related to this Agreement.</w:t>
      </w:r>
    </w:p>
    <w:p>
      <w:pPr>
        <w:spacing w:after="160"/>
      </w:pPr>
    </w:p>
    <w:p>
      <w:pPr>
        <w:spacing w:before="280" w:after="120"/>
      </w:pPr>
      <w:r>
        <w:rPr>
          <w:rFonts w:ascii="Arial" w:hAnsi="Arial"/>
          <w:b/>
          <w:color w:val="2E4057"/>
          <w:sz w:val="26"/>
        </w:rPr>
        <w:t>Signatures and Agreement Confirmation</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Advisor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Controller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Client Representative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Sales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Sales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