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Sales Contract</w:t>
      </w:r>
    </w:p>
    <w:p>
      <w:pPr>
        <w:spacing w:after="240"/>
      </w:pPr>
      <w:r>
        <w:rPr>
          <w:rFonts w:ascii="Arial" w:hAnsi="Arial"/>
          <w:b w:val="0"/>
          <w:color w:val="888888"/>
          <w:sz w:val="20"/>
        </w:rPr>
        <w:t>turabit  ·  Sales  ·  India</w:t>
      </w:r>
    </w:p>
    <w:p>
      <w:pPr>
        <w:spacing w:after="280"/>
        <w:pBdr>
          <w:bottom w:val="single" w:sz="6" w:space="1" w:color="2E4057"/>
        </w:pBdr>
      </w:pPr>
    </w:p>
    <w:p>
      <w:pPr>
        <w:spacing w:before="280" w:after="120"/>
      </w:pPr>
      <w:r>
        <w:rPr>
          <w:rFonts w:ascii="Arial" w:hAnsi="Arial"/>
          <w:b/>
          <w:color w:val="2E4057"/>
          <w:sz w:val="26"/>
        </w:rPr>
        <w:t>Contract Title and Date</w:t>
      </w:r>
    </w:p>
    <w:p>
      <w:pPr>
        <w:spacing w:after="120"/>
      </w:pPr>
      <w:r>
        <w:rPr>
          <w:rFonts w:ascii="Arial" w:hAnsi="Arial"/>
          <w:b w:val="0"/>
          <w:color w:val="222222"/>
          <w:sz w:val="22"/>
        </w:rPr>
        <w:t>The title of this contract is "Enterprise Sales Agreement," reflecting the nature and scope of the transaction between the parties involved. The agreement is executed by turabit's Sales Department, specializing in Technology and SaaS solutions within the Indian region. The effective date of this contract is 01 April 2026, marking the commencement of all terms and obligations outlined herein, ensuring clarity on the binding start date of the agreement.</w:t>
      </w:r>
    </w:p>
    <w:p>
      <w:pPr>
        <w:spacing w:after="160"/>
      </w:pPr>
    </w:p>
    <w:p>
      <w:pPr>
        <w:spacing w:before="280" w:after="120"/>
      </w:pPr>
      <w:r>
        <w:rPr>
          <w:rFonts w:ascii="Arial" w:hAnsi="Arial"/>
          <w:b/>
          <w:color w:val="2E4057"/>
          <w:sz w:val="26"/>
        </w:rPr>
        <w:t>Parties to the Contract</w:t>
      </w:r>
    </w:p>
    <w:p>
      <w:pPr>
        <w:spacing w:after="120"/>
      </w:pPr>
      <w:r>
        <w:rPr>
          <w:rFonts w:ascii="Arial" w:hAnsi="Arial"/>
          <w:b w:val="0"/>
          <w:color w:val="222222"/>
          <w:sz w:val="22"/>
        </w:rPr>
        <w:t>This Sales Contract is entered into by and between Turabit Technologies Private Limited, located at 402 Innovation Tower, Corporate Business Park, Ahmedabad, Gujarat, India 380015 (hereinafter referred to as the Buyer), and Turabit Solutions Private Limited, located at 250 Innovation Drive, Suite 400, San Francisco, CA, USA 94107 (hereinafter referred to as the Seller). Both parties agree to the terms and conditions herein governing the sale.</w:t>
      </w:r>
    </w:p>
    <w:p>
      <w:pPr>
        <w:spacing w:after="160"/>
      </w:pPr>
    </w:p>
    <w:p>
      <w:pPr>
        <w:spacing w:before="280" w:after="120"/>
      </w:pPr>
      <w:r>
        <w:rPr>
          <w:rFonts w:ascii="Arial" w:hAnsi="Arial"/>
          <w:b/>
          <w:color w:val="2E4057"/>
          <w:sz w:val="26"/>
        </w:rPr>
        <w:t>Purpose of the Agreement</w:t>
      </w:r>
    </w:p>
    <w:p>
      <w:pPr>
        <w:spacing w:after="120"/>
      </w:pPr>
      <w:r>
        <w:rPr>
          <w:rFonts w:ascii="Arial" w:hAnsi="Arial"/>
          <w:b w:val="0"/>
          <w:color w:val="222222"/>
          <w:sz w:val="22"/>
        </w:rPr>
        <w:t>The purpose of this Agreement is to establish the terms governing the provision of Turabit’s enterprise AI automation and document intelligence services. It defines the scope, deliverables, pricing, payment terms, and responsibilities of both parties. The Agreement aims to enhance operational efficiency through automation, ensure transparent service expectations, and protect the commercial and legal interests of Turabit and the buyer throughout the contract term.</w:t>
      </w:r>
    </w:p>
    <w:p>
      <w:pPr>
        <w:spacing w:after="160"/>
      </w:pPr>
    </w:p>
    <w:p>
      <w:pPr>
        <w:spacing w:before="280" w:after="120"/>
      </w:pPr>
      <w:r>
        <w:rPr>
          <w:rFonts w:ascii="Arial" w:hAnsi="Arial"/>
          <w:b/>
          <w:color w:val="2E4057"/>
          <w:sz w:val="26"/>
        </w:rPr>
        <w:t>Description of Products or Services</w:t>
      </w:r>
    </w:p>
    <w:p>
      <w:pPr>
        <w:spacing w:after="120"/>
      </w:pPr>
      <w:r>
        <w:rPr>
          <w:rFonts w:ascii="Arial" w:hAnsi="Arial"/>
          <w:b w:val="0"/>
          <w:color w:val="222222"/>
          <w:sz w:val="22"/>
        </w:rPr>
        <w:t>Turabit provides the AI Document Automation Platform v2.5, Workflow Orchestration Module v1.8, Data Integration API v3.1, Template Generator Library v2.0, and Dashboard and Reporting Suite v1.6. Key features include AI-driven document generation, dynamic workflow automation, secure data processing, real-time analytics, and scalable architecture. Included services cover customization, implementation, and ongoing support, ensuring seamless integration, tailored configurations, and continuous system optimization aligned with enterprise requirements.</w:t>
      </w:r>
    </w:p>
    <w:p>
      <w:pPr>
        <w:spacing w:after="160"/>
      </w:pPr>
    </w:p>
    <w:p>
      <w:pPr>
        <w:spacing w:before="280" w:after="120"/>
      </w:pPr>
      <w:r>
        <w:rPr>
          <w:rFonts w:ascii="Arial" w:hAnsi="Arial"/>
          <w:b/>
          <w:color w:val="2E4057"/>
          <w:sz w:val="26"/>
        </w:rPr>
        <w:t>Pricing and Payment Terms</w:t>
      </w:r>
    </w:p>
    <w:p>
      <w:pPr>
        <w:spacing w:after="120"/>
      </w:pPr>
      <w:r>
        <w:rPr>
          <w:rFonts w:ascii="Arial" w:hAnsi="Arial"/>
          <w:b w:val="0"/>
          <w:color w:val="222222"/>
          <w:sz w:val="22"/>
        </w:rPr>
        <w:t>The following table outlines the pricing tiers, unit costs, minimum purchase requirements, and applicable discounts for Turabit's SaaS offerings.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Tier 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Unit Price (USD)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Minimum Purchase Quantity</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Discount Rate (%)</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Starter Tier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49</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 licenses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Professional Tier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79</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25 licenses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Business Tier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129</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50 licenses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Enterprise Tier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199</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100 licenses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Enterprise Plus Tier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249</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200 licenses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18</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Global Enterprise Tier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299</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500 licenses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w:t>
            </w:r>
          </w:p>
        </w:tc>
      </w:tr>
    </w:tbl>
    <w:p>
      <w:pPr>
        <w:spacing w:after="120"/>
      </w:pPr>
    </w:p>
    <w:p>
      <w:pPr>
        <w:spacing w:after="80"/>
      </w:pPr>
    </w:p>
    <w:p>
      <w:pPr>
        <w:spacing w:after="120"/>
      </w:pPr>
      <w:r>
        <w:rPr>
          <w:rFonts w:ascii="Arial" w:hAnsi="Arial"/>
          <w:b w:val="0"/>
          <w:color w:val="222222"/>
          <w:sz w:val="22"/>
        </w:rPr>
        <w:t>The accepted payment methods, associated payment terms, due dates, and late payment penalties are detailed in the following table.</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Payment Method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Payment Terms</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Due Date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Late Payment Penalty</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Bank Transfer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Net 30 from invoice date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Within 30 days of invoice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 of outstanding balance per month</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Credit Card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Immediate payment upon invoice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Same day as invoice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 of outstanding balance per month</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Corporate Debit Card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Payment processed at purchase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Same day as invoice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 of outstanding balance per month</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ACH Transfer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Net 15 payment terms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Within 15 days of invoice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 of outstanding balance per month</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International Wire Transfer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Net 30 payment terms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Within 30 days of invoice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2.5% of outstanding balance per month</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Digital Payment Gateway</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Immediate payment processing</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Same day as invoice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 of outstanding balance per month</w:t>
            </w:r>
          </w:p>
        </w:tc>
      </w:tr>
    </w:tbl>
    <w:p>
      <w:pPr>
        <w:spacing w:after="120"/>
      </w:pPr>
    </w:p>
    <w:p>
      <w:pPr>
        <w:spacing w:after="80"/>
      </w:pPr>
    </w:p>
    <w:p>
      <w:pPr>
        <w:spacing w:after="120"/>
      </w:pPr>
      <w:r>
        <w:rPr>
          <w:rFonts w:ascii="Arial" w:hAnsi="Arial"/>
          <w:b w:val="0"/>
          <w:color w:val="222222"/>
          <w:sz w:val="22"/>
        </w:rPr>
        <w:t>Additional fees and charges applicable under specific conditions are summarized below.</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Fee 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Description</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Amount (USD)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Applicable Conditions</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Implementation Fee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Initial system setup, configuration, and deployment</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Charged once at contract start</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Custom Development Fee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Customized workflows, templates, or integrations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120 per hour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When custom feature development requested</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Training Fee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Instructor-led training sessions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600 per session</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When on-site or virtual training requested</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Priority Support Fee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Dedicated priority technical support and faster SLA</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800 per month</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If premium support services are opted for</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Data Migration Fee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Migration of existing documents and data</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900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When legacy data transfer is required</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API Usage Fee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Additional API requests beyond standard limits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0.02 per request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When API usage exceeds contracted limits</w:t>
            </w:r>
          </w:p>
        </w:tc>
      </w:tr>
    </w:tbl>
    <w:p>
      <w:pPr>
        <w:spacing w:after="120"/>
      </w:pPr>
    </w:p>
    <w:p>
      <w:pPr>
        <w:spacing w:after="160"/>
      </w:pPr>
    </w:p>
    <w:p>
      <w:pPr>
        <w:spacing w:before="280" w:after="120"/>
      </w:pPr>
      <w:r>
        <w:rPr>
          <w:rFonts w:ascii="Arial" w:hAnsi="Arial"/>
          <w:b/>
          <w:color w:val="2E4057"/>
          <w:sz w:val="26"/>
        </w:rPr>
        <w:t>Delivery or Service Schedule</w:t>
      </w:r>
    </w:p>
    <w:p>
      <w:pPr>
        <w:spacing w:after="120"/>
      </w:pPr>
      <w:r>
        <w:rPr>
          <w:rFonts w:ascii="Arial" w:hAnsi="Arial"/>
          <w:b w:val="0"/>
          <w:color w:val="222222"/>
          <w:sz w:val="22"/>
        </w:rPr>
        <w:t>The following table outlines the detailed delivery and service schedule, including dates, descriptions, quantities or durations, milestones, responsible parties, and any special conditions applicable to each phase of the project.</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Delivery/Service Date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Description of Product or Service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Quantity / Duration</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Milestone / Status</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Responsible Party / Department</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Special Conditions or Notes</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2026-04-01</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Project kickoff and implementation planning session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 session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Project Initiation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Project Management Office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Project kickoff requires confirmation of project scope and stakeholder availability.</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2026-04-05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Deployment of Turabit AI Document Automation Platform – Version 2.5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 system deployment</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System Installation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IT Infrastructure Team</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System deployment dependent on completion of infrastructure readiness and security clearance.</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2026-04-10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Integration setup with enterprise databases and internal systems</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 integrations</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Integration Milestone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Systems Integration Department</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Integration tasks require API access credentials and database connectivity approval.</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2026-04-15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Configuration of document templates and workflow automation modules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15 templates configured</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Configuration Phase</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Software Configuration Team</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Workflow configuration subject to approval of template specifications by the client team.</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2026-04-20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System testing, validation, and performance checks</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 testing cycles</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Quality Assurance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Quality Assurance Department</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Testing phase must meet predefined performance benchmarks and security compliance checks.</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2026-04-25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End-user training and onboarding workshops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 training sessions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Training Completion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Training and Employee Development Team</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Training sessions require participation from designated operational staff and administrators.</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2026-04-30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Final system delivery and operational handover</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1 final delivery</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Project Completion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Client Success and Implementation Team</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Final acceptance contingent upon successful completion of system validation and client sign-off.</w:t>
            </w:r>
          </w:p>
        </w:tc>
      </w:tr>
    </w:tbl>
    <w:p>
      <w:pPr>
        <w:spacing w:after="120"/>
      </w:pPr>
    </w:p>
    <w:p>
      <w:pPr>
        <w:spacing w:after="160"/>
      </w:pPr>
    </w:p>
    <w:p>
      <w:pPr>
        <w:spacing w:before="280" w:after="120"/>
      </w:pPr>
      <w:r>
        <w:rPr>
          <w:rFonts w:ascii="Arial" w:hAnsi="Arial"/>
          <w:b/>
          <w:color w:val="2E4057"/>
          <w:sz w:val="26"/>
        </w:rPr>
        <w:t>Responsibilities of the Parties</w:t>
      </w:r>
    </w:p>
    <w:p>
      <w:pPr>
        <w:spacing w:after="120"/>
      </w:pPr>
      <w:r>
        <w:rPr>
          <w:rFonts w:ascii="Arial" w:hAnsi="Arial"/>
          <w:b w:val="0"/>
          <w:color w:val="222222"/>
          <w:sz w:val="22"/>
        </w:rPr>
        <w:t>Turabit shall deliver products and services per agreed specifications, ensure timely deployment, provide technical support, maintain data security, supply documentation, and address issues within response timelines. The customer shall provide accurate requirements, timely payments, access to systems, designate representatives, ensure user compliance, and notify Turabit of issues promptly. Both parties must meet deadlines, complete project milestones, and achieve final system acceptance through testing and validation.</w:t>
      </w:r>
    </w:p>
    <w:p>
      <w:pPr>
        <w:spacing w:after="160"/>
      </w:pPr>
    </w:p>
    <w:p>
      <w:pPr>
        <w:spacing w:before="280" w:after="120"/>
      </w:pPr>
      <w:r>
        <w:rPr>
          <w:rFonts w:ascii="Arial" w:hAnsi="Arial"/>
          <w:b/>
          <w:color w:val="2E4057"/>
          <w:sz w:val="26"/>
        </w:rPr>
        <w:t>Warranty and Service Terms</w:t>
      </w:r>
    </w:p>
    <w:p>
      <w:pPr>
        <w:spacing w:after="120"/>
      </w:pPr>
      <w:r>
        <w:rPr>
          <w:rFonts w:ascii="Arial" w:hAnsi="Arial"/>
          <w:b w:val="0"/>
          <w:color w:val="222222"/>
          <w:sz w:val="22"/>
        </w:rPr>
        <w:t>turabit warrants its products and services to be free from defects in materials and workmanship for a period of 12 months from the date of delivery. Support commitments and service level agreements will be detailed separately in the applicable service agreement. Warranty coverage excludes damages caused by misuse, unauthorized modifications, or external factors. Any breach of contract or failure to follow prescribed usage voids the warranty. Service requests must comply with turabit’s standard procedures.</w:t>
      </w:r>
    </w:p>
    <w:p>
      <w:pPr>
        <w:spacing w:after="160"/>
      </w:pPr>
    </w:p>
    <w:p>
      <w:pPr>
        <w:spacing w:before="280" w:after="120"/>
      </w:pPr>
      <w:r>
        <w:rPr>
          <w:rFonts w:ascii="Arial" w:hAnsi="Arial"/>
          <w:b/>
          <w:color w:val="2E4057"/>
          <w:sz w:val="26"/>
        </w:rPr>
        <w:t>Confidentiality Clause</w:t>
      </w:r>
    </w:p>
    <w:p>
      <w:pPr>
        <w:spacing w:after="120"/>
      </w:pPr>
      <w:r>
        <w:rPr>
          <w:rFonts w:ascii="Arial" w:hAnsi="Arial"/>
          <w:b w:val="0"/>
          <w:color w:val="222222"/>
          <w:sz w:val="22"/>
        </w:rPr>
        <w:t>Both parties agree to keep all proprietary, technical, financial, and business information disclosed during the contract confidential. Confidential information includes, but is not limited to, software, data, pricing, and customer details. Disclosure to third parties is prohibited without prior written consent. The confidentiality obligation remains effective for a period of three years following the termination or expiration of this contract, ensuring protection of sensitive information beyond the contract term.</w:t>
      </w:r>
    </w:p>
    <w:p>
      <w:pPr>
        <w:spacing w:after="160"/>
      </w:pPr>
    </w:p>
    <w:p>
      <w:pPr>
        <w:spacing w:before="280" w:after="120"/>
      </w:pPr>
      <w:r>
        <w:rPr>
          <w:rFonts w:ascii="Arial" w:hAnsi="Arial"/>
          <w:b/>
          <w:color w:val="2E4057"/>
          <w:sz w:val="26"/>
        </w:rPr>
        <w:t>Termination Conditions</w:t>
      </w:r>
    </w:p>
    <w:p>
      <w:pPr>
        <w:spacing w:after="120"/>
      </w:pPr>
      <w:r>
        <w:rPr>
          <w:rFonts w:ascii="Arial" w:hAnsi="Arial"/>
          <w:b w:val="0"/>
          <w:color w:val="222222"/>
          <w:sz w:val="22"/>
        </w:rPr>
        <w:t>Either party may terminate the contract upon material breach, insolvency, or mutual agreement. Termination requires a thirty (30) day prior written notice via registered email or courier. Upon termination, all outstanding payments become immediately due. No penalties apply if termination complies with notice requirements. Obligations accrued before termination shall survive. Further liabilities or fees may be imposed if termination occurs due to breach or fraud, as outlined in applicable laws.</w:t>
      </w:r>
    </w:p>
    <w:p>
      <w:pPr>
        <w:spacing w:after="160"/>
      </w:pPr>
    </w:p>
    <w:p>
      <w:pPr>
        <w:spacing w:before="280" w:after="120"/>
      </w:pPr>
      <w:r>
        <w:rPr>
          <w:rFonts w:ascii="Arial" w:hAnsi="Arial"/>
          <w:b/>
          <w:color w:val="2E4057"/>
          <w:sz w:val="26"/>
        </w:rPr>
        <w:t>Dispute Resolution</w:t>
      </w:r>
    </w:p>
    <w:p>
      <w:pPr>
        <w:spacing w:after="120"/>
      </w:pPr>
      <w:r>
        <w:rPr>
          <w:rFonts w:ascii="Arial" w:hAnsi="Arial"/>
          <w:b w:val="0"/>
          <w:color w:val="222222"/>
          <w:sz w:val="22"/>
        </w:rPr>
        <w:t>Any disputes arising from or related to this Sales Contract shall be resolved amicably through good faith negotiations between the parties.</w:t>
      </w:r>
    </w:p>
    <w:p>
      <w:pPr>
        <w:spacing w:after="80"/>
      </w:pPr>
    </w:p>
    <w:p>
      <w:pPr>
        <w:spacing w:after="120"/>
      </w:pPr>
      <w:r>
        <w:rPr>
          <w:rFonts w:ascii="Arial" w:hAnsi="Arial"/>
          <w:b w:val="0"/>
          <w:color w:val="222222"/>
          <w:sz w:val="22"/>
        </w:rPr>
        <w:t>If unresolved within 30 days, disputes shall be settled by arbitration administered in accordance with the Arbitration and Conciliation Act, 1996, India.</w:t>
      </w:r>
    </w:p>
    <w:p>
      <w:pPr>
        <w:spacing w:after="80"/>
      </w:pPr>
    </w:p>
    <w:p>
      <w:pPr>
        <w:spacing w:after="120"/>
      </w:pPr>
      <w:r>
        <w:rPr>
          <w:rFonts w:ascii="Arial" w:hAnsi="Arial"/>
          <w:b w:val="0"/>
          <w:color w:val="222222"/>
          <w:sz w:val="22"/>
        </w:rPr>
        <w:t>The arbitration shall be conducted in English and held in Mumbai.</w:t>
      </w:r>
    </w:p>
    <w:p>
      <w:pPr>
        <w:spacing w:after="80"/>
      </w:pPr>
    </w:p>
    <w:p>
      <w:pPr>
        <w:spacing w:after="120"/>
      </w:pPr>
      <w:r>
        <w:rPr>
          <w:rFonts w:ascii="Arial" w:hAnsi="Arial"/>
          <w:b w:val="0"/>
          <w:color w:val="222222"/>
          <w:sz w:val="22"/>
        </w:rPr>
        <w:t>The governing law of this contract shall be the laws of India, excluding its conflict of law principles.</w:t>
      </w:r>
    </w:p>
    <w:p>
      <w:pPr>
        <w:spacing w:after="160"/>
      </w:pPr>
    </w:p>
    <w:p>
      <w:pPr>
        <w:spacing w:before="280" w:after="120"/>
      </w:pPr>
      <w:r>
        <w:rPr>
          <w:rFonts w:ascii="Arial" w:hAnsi="Arial"/>
          <w:b/>
          <w:color w:val="2E4057"/>
          <w:sz w:val="26"/>
        </w:rPr>
        <w:t>Governing Law</w:t>
      </w:r>
    </w:p>
    <w:p>
      <w:pPr>
        <w:spacing w:after="120"/>
      </w:pPr>
      <w:r>
        <w:rPr>
          <w:rFonts w:ascii="Arial" w:hAnsi="Arial"/>
          <w:b w:val="0"/>
          <w:color w:val="222222"/>
          <w:sz w:val="22"/>
        </w:rPr>
        <w:t>This Sales Contract shall be governed by and construed in accordance with the laws of the State of Maharashtra, India, without regard to its conflict of law principles. Any disputes arising out of or relating to this Contract shall be subject to the exclusive jurisdiction of the courts located in Mumbai. Both parties consent to the personal jurisdiction of these courts and waive any objections to venue or inconvenient forum.</w:t>
      </w:r>
    </w:p>
    <w:p>
      <w:pPr>
        <w:spacing w:after="160"/>
      </w:pPr>
    </w:p>
    <w:p>
      <w:pPr>
        <w:spacing w:before="280" w:after="120"/>
      </w:pPr>
      <w:r>
        <w:rPr>
          <w:rFonts w:ascii="Arial" w:hAnsi="Arial"/>
          <w:b/>
          <w:color w:val="2E4057"/>
          <w:sz w:val="26"/>
        </w:rPr>
        <w:t>Signatures of Both Parties</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Sales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Account Executive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Finance Controller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Sales Contract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Sales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