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Bid Evaluation Report</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bid evaluation report is dated 01 April 2026, prepared by the Procurement Department of turabit. It pertains to the technology and SaaS industry within the India region. The authorized approver for this report is the Procurement Head, responsible for validating and endorsing the findings and recommendations presented herein.</w:t>
      </w:r>
    </w:p>
    <w:p>
      <w:pPr>
        <w:spacing w:after="120"/>
      </w:pPr>
    </w:p>
    <w:p>
      <w:pPr>
        <w:spacing w:before="240" w:after="100"/>
        <w:pBdr>
          <w:bottom w:val="single" w:sz="6" w:space="1" w:color="2E4057"/>
        </w:pBdr>
      </w:pPr>
      <w:r>
        <w:rPr>
          <w:rFonts w:ascii="Arial" w:hAnsi="Arial"/>
          <w:b/>
          <w:i w:val="0"/>
          <w:color w:val="2E4057"/>
          <w:sz w:val="26"/>
        </w:rPr>
        <w:t>Procurement Reference Details</w:t>
      </w:r>
    </w:p>
    <w:p>
      <w:pPr>
        <w:spacing w:after="120"/>
      </w:pPr>
      <w:r>
        <w:rPr>
          <w:rFonts w:ascii="Arial" w:hAnsi="Arial"/>
          <w:b w:val="0"/>
          <w:i w:val="0"/>
          <w:color w:val="222222"/>
          <w:sz w:val="22"/>
        </w:rPr>
        <w:t>The procurement process under reference PRC-2026-041 was initiated on 15 March 2026. The Procurement and Vendor Management Team is responsible for overseeing and managing the bid evaluation activities, ensuring compliance with company policies and regulatory requirements throughout the entire procurement lifecycle within the technology and SaaS domain.</w:t>
      </w:r>
    </w:p>
    <w:p>
      <w:pPr>
        <w:spacing w:after="120"/>
      </w:pPr>
    </w:p>
    <w:p>
      <w:pPr>
        <w:spacing w:before="240" w:after="100"/>
        <w:pBdr>
          <w:bottom w:val="single" w:sz="6" w:space="1" w:color="2E4057"/>
        </w:pBdr>
      </w:pPr>
      <w:r>
        <w:rPr>
          <w:rFonts w:ascii="Arial" w:hAnsi="Arial"/>
          <w:b/>
          <w:i w:val="0"/>
          <w:color w:val="2E4057"/>
          <w:sz w:val="26"/>
        </w:rPr>
        <w:t>List of Participating Vendors</w:t>
      </w:r>
    </w:p>
    <w:p>
      <w:pPr>
        <w:spacing w:after="80"/>
        <w:ind w:left="360"/>
      </w:pPr>
      <w:r>
        <w:rPr>
          <w:rFonts w:ascii="Arial" w:hAnsi="Arial"/>
          <w:b w:val="0"/>
          <w:i w:val="0"/>
          <w:color w:val="222222"/>
          <w:sz w:val="22"/>
        </w:rPr>
        <w:t>1. AlphaTech Solutions Pvt. Ltd.: Enterprise SaaS platform for workflow automation</w:t>
      </w:r>
    </w:p>
    <w:p>
      <w:pPr>
        <w:spacing w:after="80"/>
        <w:ind w:left="360"/>
      </w:pPr>
      <w:r>
        <w:rPr>
          <w:rFonts w:ascii="Arial" w:hAnsi="Arial"/>
          <w:b w:val="0"/>
          <w:i w:val="0"/>
          <w:color w:val="222222"/>
          <w:sz w:val="22"/>
        </w:rPr>
        <w:t>2. NexaCore Systems LLP: Cloud infrastructure setup and managed services (withdrawn)</w:t>
      </w:r>
    </w:p>
    <w:p>
      <w:pPr>
        <w:spacing w:after="80"/>
        <w:ind w:left="360"/>
      </w:pPr>
      <w:r>
        <w:rPr>
          <w:rFonts w:ascii="Arial" w:hAnsi="Arial"/>
          <w:b w:val="0"/>
          <w:i w:val="0"/>
          <w:color w:val="222222"/>
          <w:sz w:val="22"/>
        </w:rPr>
        <w:t>3. Vertex Digital Services Pvt. Ltd.: Custom software development and system integration</w:t>
      </w:r>
    </w:p>
    <w:p>
      <w:pPr>
        <w:spacing w:after="80"/>
        <w:ind w:left="360"/>
      </w:pPr>
      <w:r>
        <w:rPr>
          <w:rFonts w:ascii="Arial" w:hAnsi="Arial"/>
          <w:b w:val="0"/>
          <w:i w:val="0"/>
          <w:color w:val="222222"/>
          <w:sz w:val="22"/>
        </w:rPr>
        <w:t>4. Orion IT Infrastructure Ltd.: Hardware procurement and network deployment services (disqualified)</w:t>
      </w:r>
    </w:p>
    <w:p>
      <w:pPr>
        <w:spacing w:after="80"/>
        <w:ind w:left="360"/>
      </w:pPr>
      <w:r>
        <w:rPr>
          <w:rFonts w:ascii="Arial" w:hAnsi="Arial"/>
          <w:b w:val="0"/>
          <w:i w:val="0"/>
          <w:color w:val="222222"/>
          <w:sz w:val="22"/>
        </w:rPr>
        <w:t>5. Zenith Cloud Technologies Pvt. Ltd.: Cloud hosting and data security solutions</w:t>
      </w:r>
    </w:p>
    <w:p>
      <w:pPr>
        <w:spacing w:after="120"/>
      </w:pPr>
    </w:p>
    <w:p>
      <w:pPr>
        <w:spacing w:before="240" w:after="100"/>
        <w:pBdr>
          <w:bottom w:val="single" w:sz="6" w:space="1" w:color="2E4057"/>
        </w:pBdr>
      </w:pPr>
      <w:r>
        <w:rPr>
          <w:rFonts w:ascii="Arial" w:hAnsi="Arial"/>
          <w:b/>
          <w:i w:val="0"/>
          <w:color w:val="2E4057"/>
          <w:sz w:val="26"/>
        </w:rPr>
        <w:t>Evaluation Criteria Overview</w:t>
      </w:r>
    </w:p>
    <w:p>
      <w:pPr>
        <w:spacing w:after="120"/>
      </w:pPr>
      <w:r>
        <w:rPr>
          <w:rFonts w:ascii="Arial" w:hAnsi="Arial"/>
          <w:b w:val="0"/>
          <w:i w:val="0"/>
          <w:color w:val="222222"/>
          <w:sz w:val="22"/>
        </w:rPr>
        <w:t>Evaluation considered Technical Capability (30%), Financial Proposal (25%), Vendor Experience (15%), Implementation Plan (10%), Compliance (10%), Support Services (5%), and Risk Management (5%). Mandatory requirements included complete documentation, technical compliance, valid registrations, financial stability, contractual acceptance, data security adherence, and a minimum 70% technical score for financial evaluation.</w:t>
      </w:r>
    </w:p>
    <w:p>
      <w:pPr>
        <w:spacing w:after="120"/>
      </w:pPr>
    </w:p>
    <w:p>
      <w:pPr>
        <w:spacing w:before="240" w:after="100"/>
        <w:pBdr>
          <w:bottom w:val="single" w:sz="6" w:space="1" w:color="2E4057"/>
        </w:pBdr>
      </w:pPr>
      <w:r>
        <w:rPr>
          <w:rFonts w:ascii="Arial" w:hAnsi="Arial"/>
          <w:b/>
          <w:i w:val="0"/>
          <w:color w:val="2E4057"/>
          <w:sz w:val="26"/>
        </w:rPr>
        <w:t>Technical Evaluation of Bids</w:t>
      </w:r>
    </w:p>
    <w:p>
      <w:pPr>
        <w:spacing w:after="120"/>
      </w:pPr>
      <w:r>
        <w:rPr>
          <w:rFonts w:ascii="Arial" w:hAnsi="Arial"/>
          <w:b w:val="0"/>
          <w:i w:val="0"/>
          <w:color w:val="222222"/>
          <w:sz w:val="22"/>
        </w:rPr>
        <w:t>Technical evaluation scores bids on functional compliance (0–30), solution architecture (0–20), implementation approach (0–15), technical expertise (0–15), innovation (0–10), and support capability (0–10). A minimum of 70% is required for financial evaluation. The committee includes HR Manager, IT Compliance Officer, Senior Architect, Procurement Manager, and Employee Relations representative. Evaluation completes within 10 business days.</w:t>
      </w:r>
    </w:p>
    <w:p>
      <w:pPr>
        <w:spacing w:after="120"/>
      </w:pPr>
    </w:p>
    <w:p>
      <w:pPr>
        <w:spacing w:before="240" w:after="100"/>
        <w:pBdr>
          <w:bottom w:val="single" w:sz="6" w:space="1" w:color="2E4057"/>
        </w:pBdr>
      </w:pPr>
      <w:r>
        <w:rPr>
          <w:rFonts w:ascii="Arial" w:hAnsi="Arial"/>
          <w:b/>
          <w:i w:val="0"/>
          <w:color w:val="2E4057"/>
          <w:sz w:val="26"/>
        </w:rPr>
        <w:t>Financial Evaluation of Bids</w:t>
      </w:r>
    </w:p>
    <w:p>
      <w:pPr>
        <w:spacing w:after="120"/>
      </w:pPr>
      <w:r>
        <w:rPr>
          <w:rFonts w:ascii="Arial" w:hAnsi="Arial"/>
          <w:b w:val="0"/>
          <w:i w:val="0"/>
          <w:color w:val="222222"/>
          <w:sz w:val="22"/>
        </w:rPr>
        <w:t>Financial evaluation was based on total cost of ownership, pricing competitiveness, cost breakdown transparency, payment terms, vendor financial stability, and value for money, totaling 100 points. Scores were normalized, favoring the lowest compliant bid. The approved budget is INR 75,00,000 with a 10% permissible variance subject to management approval.</w:t>
      </w:r>
    </w:p>
    <w:p>
      <w:pPr>
        <w:spacing w:after="120"/>
      </w:pPr>
    </w:p>
    <w:p>
      <w:pPr>
        <w:spacing w:before="240" w:after="100"/>
        <w:pBdr>
          <w:bottom w:val="single" w:sz="6" w:space="1" w:color="2E4057"/>
        </w:pBdr>
      </w:pPr>
      <w:r>
        <w:rPr>
          <w:rFonts w:ascii="Arial" w:hAnsi="Arial"/>
          <w:b/>
          <w:i w:val="0"/>
          <w:color w:val="2E4057"/>
          <w:sz w:val="26"/>
        </w:rPr>
        <w:t>Compliance Verification</w:t>
      </w:r>
    </w:p>
    <w:p>
      <w:pPr>
        <w:spacing w:after="120"/>
      </w:pPr>
      <w:r>
        <w:rPr>
          <w:rFonts w:ascii="Arial" w:hAnsi="Arial"/>
          <w:b w:val="0"/>
          <w:i w:val="0"/>
          <w:color w:val="222222"/>
          <w:sz w:val="22"/>
        </w:rPr>
        <w:t>Compliance verification ensured adherence to technical specifications, documentation completeness, legal and regulatory requirements, valid registrations, data protection standards, contractual terms acceptance, eligibility criteria, and ethical policies. The IT Compliance Officer, alongside Procurement and Legal Review Team, conducted thorough reviews and certified compliance before progressing bids to subsequent evaluation stages.</w:t>
      </w:r>
    </w:p>
    <w:p>
      <w:pPr>
        <w:spacing w:after="120"/>
      </w:pPr>
    </w:p>
    <w:p>
      <w:pPr>
        <w:spacing w:before="240" w:after="100"/>
        <w:pBdr>
          <w:bottom w:val="single" w:sz="6" w:space="1" w:color="2E4057"/>
        </w:pBdr>
      </w:pPr>
      <w:r>
        <w:rPr>
          <w:rFonts w:ascii="Arial" w:hAnsi="Arial"/>
          <w:b/>
          <w:i w:val="0"/>
          <w:color w:val="2E4057"/>
          <w:sz w:val="26"/>
        </w:rPr>
        <w:t>Comparative Analysis of Proposals</w:t>
      </w:r>
    </w:p>
    <w:p>
      <w:pPr>
        <w:spacing w:after="120"/>
      </w:pPr>
      <w:r>
        <w:rPr>
          <w:rFonts w:ascii="Arial" w:hAnsi="Arial"/>
          <w:b w:val="0"/>
          <w:i w:val="0"/>
          <w:color w:val="222222"/>
          <w:sz w:val="22"/>
        </w:rPr>
        <w:t>AlphaTech leads in functional compliance and technical expertise but has higher costs. NexaCore offers competitive pricing and flexible terms yet lacks large-scale experience. Vertex excels in custom development and implementation but requires longer deployment. Zenith provides scalable infrastructure and strong security, with moderate pricing and fewer value-added features.</w:t>
      </w:r>
    </w:p>
    <w:p>
      <w:pPr>
        <w:spacing w:after="120"/>
      </w:pPr>
    </w:p>
    <w:p>
      <w:pPr>
        <w:spacing w:before="240" w:after="100"/>
        <w:pBdr>
          <w:bottom w:val="single" w:sz="6" w:space="1" w:color="2E4057"/>
        </w:pBdr>
      </w:pPr>
      <w:r>
        <w:rPr>
          <w:rFonts w:ascii="Arial" w:hAnsi="Arial"/>
          <w:b/>
          <w:i w:val="0"/>
          <w:color w:val="2E4057"/>
          <w:sz w:val="26"/>
        </w:rPr>
        <w:t>Risk Assessment of Vendors</w:t>
      </w:r>
    </w:p>
    <w:p>
      <w:pPr>
        <w:spacing w:after="120"/>
      </w:pPr>
      <w:r>
        <w:rPr>
          <w:rFonts w:ascii="Arial" w:hAnsi="Arial"/>
          <w:b w:val="0"/>
          <w:i w:val="0"/>
          <w:color w:val="222222"/>
          <w:sz w:val="22"/>
        </w:rPr>
        <w:t>Vendor risk assessment considers financial stability, compliance adherence, data security, and delivery reliability. Historical performance and market reputation are reviewed. Mitigation requires vendors to maintain robust cybersecurity measures, clear SLAs, and contingency plans. Continuous monitoring ensures early identification of risks, supporting informed decision-making and safeguarding turabit’s operational integrity.</w:t>
      </w:r>
    </w:p>
    <w:p>
      <w:pPr>
        <w:spacing w:after="120"/>
      </w:pPr>
    </w:p>
    <w:p>
      <w:pPr>
        <w:spacing w:before="240" w:after="100"/>
        <w:pBdr>
          <w:bottom w:val="single" w:sz="6" w:space="1" w:color="2E4057"/>
        </w:pBdr>
      </w:pPr>
      <w:r>
        <w:rPr>
          <w:rFonts w:ascii="Arial" w:hAnsi="Arial"/>
          <w:b/>
          <w:i w:val="0"/>
          <w:color w:val="2E4057"/>
          <w:sz w:val="26"/>
        </w:rPr>
        <w:t>Evaluation Committee Observations</w:t>
      </w:r>
    </w:p>
    <w:p>
      <w:pPr>
        <w:spacing w:after="120"/>
      </w:pPr>
      <w:r>
        <w:rPr>
          <w:rFonts w:ascii="Arial" w:hAnsi="Arial"/>
          <w:b w:val="0"/>
          <w:i w:val="0"/>
          <w:color w:val="222222"/>
          <w:sz w:val="22"/>
        </w:rPr>
        <w:t>The evaluation committee thoroughly reviewed each bid against predefined criteria, noting strengths and weaknesses. Observations highlighted compliance, technical capabilities, pricing, and delivery timelines. Recommendations emphasized alignment with turabit’s technology requirements and cost-effectiveness. Further clarifications were requested to resolve ambiguities and ensure fair comparison across all proposals received.</w:t>
      </w:r>
    </w:p>
    <w:p>
      <w:pPr>
        <w:spacing w:after="120"/>
      </w:pPr>
    </w:p>
    <w:p>
      <w:pPr>
        <w:spacing w:before="240" w:after="100"/>
        <w:pBdr>
          <w:bottom w:val="single" w:sz="6" w:space="1" w:color="2E4057"/>
        </w:pBdr>
      </w:pPr>
      <w:r>
        <w:rPr>
          <w:rFonts w:ascii="Arial" w:hAnsi="Arial"/>
          <w:b/>
          <w:i w:val="0"/>
          <w:color w:val="2E4057"/>
          <w:sz w:val="26"/>
        </w:rPr>
        <w:t>Recommended Vendor Selection</w:t>
      </w:r>
    </w:p>
    <w:p>
      <w:pPr>
        <w:spacing w:after="120"/>
      </w:pPr>
      <w:r>
        <w:rPr>
          <w:rFonts w:ascii="Arial" w:hAnsi="Arial"/>
          <w:b w:val="0"/>
          <w:i w:val="0"/>
          <w:color w:val="222222"/>
          <w:sz w:val="22"/>
        </w:rPr>
        <w:t>After thorough evaluation, Vendor X is recommended for selection based on competitive pricing, proven technology expertise, and strong post-implementation support. The proposed contract value aligns with budget expectations. Vendor X demonstrated superior compliance with technical requirements and delivery timelines, ensuring alignment with turabit’s strategic objectives and operational needs in India’s SaaS market.</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Bid Evaluation Committee Chair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Advisor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Bid Evaluation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Bid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