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Supplier Risk Assessment</w:t>
      </w:r>
    </w:p>
    <w:p>
      <w:pPr>
        <w:spacing w:after="120"/>
      </w:pPr>
      <w:r>
        <w:rPr>
          <w:rFonts w:ascii="Arial" w:hAnsi="Arial"/>
          <w:b w:val="0"/>
          <w:i w:val="0"/>
          <w:color w:val="888888"/>
          <w:sz w:val="20"/>
        </w:rPr>
        <w:t>turabit  ·  Procurement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Supplier Risk Assessment report for turabit is effective as of 01 April 2026. The designated owner and approver responsible for this report is the Risk and Compliance Manager. This report supports informed decision-making within the Procurement department and aligns with industry best practices in the Technology and SaaS sector.</w:t>
      </w:r>
    </w:p>
    <w:p>
      <w:pPr>
        <w:spacing w:after="120"/>
      </w:pPr>
    </w:p>
    <w:p>
      <w:pPr>
        <w:spacing w:before="240" w:after="100"/>
        <w:pBdr>
          <w:bottom w:val="single" w:sz="6" w:space="1" w:color="2E4057"/>
        </w:pBdr>
      </w:pPr>
      <w:r>
        <w:rPr>
          <w:rFonts w:ascii="Arial" w:hAnsi="Arial"/>
          <w:b/>
          <w:i w:val="0"/>
          <w:color w:val="2E4057"/>
          <w:sz w:val="26"/>
        </w:rPr>
        <w:t>Supplier Identification Details</w:t>
      </w:r>
    </w:p>
    <w:p>
      <w:pPr>
        <w:spacing w:after="120"/>
      </w:pPr>
      <w:r>
        <w:rPr>
          <w:rFonts w:ascii="Arial" w:hAnsi="Arial"/>
          <w:b w:val="0"/>
          <w:i w:val="0"/>
          <w:color w:val="222222"/>
          <w:sz w:val="22"/>
        </w:rPr>
        <w:t>Supplier is Zenith Cloud Technologies Pvt. Ltd., located at 502 Tech Park Tower, Sector 62, Noida, Uttar Pradesh, 201309, India. Primary contact is Rajesh Sharma, reachable at +91 98765 43210 or rajesh.sharma@zenithcloudtech.com. Industry: Information Technology Services. Services: Cloud hosting, data security, managed infrastructure.</w:t>
      </w:r>
    </w:p>
    <w:p>
      <w:pPr>
        <w:spacing w:after="120"/>
      </w:pPr>
    </w:p>
    <w:p>
      <w:pPr>
        <w:spacing w:before="240" w:after="100"/>
        <w:pBdr>
          <w:bottom w:val="single" w:sz="6" w:space="1" w:color="2E4057"/>
        </w:pBdr>
      </w:pPr>
      <w:r>
        <w:rPr>
          <w:rFonts w:ascii="Arial" w:hAnsi="Arial"/>
          <w:b/>
          <w:i w:val="0"/>
          <w:color w:val="2E4057"/>
          <w:sz w:val="26"/>
        </w:rPr>
        <w:t>Purpose of Risk Assessment</w:t>
      </w:r>
    </w:p>
    <w:p>
      <w:pPr>
        <w:spacing w:after="120"/>
      </w:pPr>
      <w:r>
        <w:rPr>
          <w:rFonts w:ascii="Arial" w:hAnsi="Arial"/>
          <w:b w:val="0"/>
          <w:i w:val="0"/>
          <w:color w:val="222222"/>
          <w:sz w:val="22"/>
        </w:rPr>
        <w:t>turabit’s supplier risk assessment aims to identify and mitigate financial, compliance, operational, data security, quality, reputational, dependency, and geopolitical risks. It supports regulatory adherence, enhances vendor performance, strengthens data protection, ensures business continuity, and informs strategic procurement decisions to safeguard organizational interests.</w:t>
      </w:r>
    </w:p>
    <w:p>
      <w:pPr>
        <w:spacing w:after="120"/>
      </w:pPr>
    </w:p>
    <w:p>
      <w:pPr>
        <w:spacing w:before="240" w:after="100"/>
        <w:pBdr>
          <w:bottom w:val="single" w:sz="6" w:space="1" w:color="2E4057"/>
        </w:pBdr>
      </w:pPr>
      <w:r>
        <w:rPr>
          <w:rFonts w:ascii="Arial" w:hAnsi="Arial"/>
          <w:b/>
          <w:i w:val="0"/>
          <w:color w:val="2E4057"/>
          <w:sz w:val="26"/>
        </w:rPr>
        <w:t>Risk Assessment Methodology</w:t>
      </w:r>
    </w:p>
    <w:p>
      <w:pPr>
        <w:spacing w:after="120"/>
      </w:pPr>
      <w:r>
        <w:rPr>
          <w:rFonts w:ascii="Arial" w:hAnsi="Arial"/>
          <w:b w:val="0"/>
          <w:i w:val="0"/>
          <w:color w:val="222222"/>
          <w:sz w:val="22"/>
        </w:rPr>
        <w:t>The following table outlines the detailed steps involved in the Supplier Risk Assessment Methodology, specifying the process description, responsible roles, and evaluation criteria for each step.</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Step 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Description</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Evaluation Criteria</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Identification</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Identify potential risks associated with the supplier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Completeness of identified risk categories</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Categorization</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Classify risks into financial, operational, compliance, etc.</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and Compliance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Accuracy of risk classification</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Analysis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Assess impact and likelihood of each identified risk</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Compliance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scoring based on defined metrics</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Evaluation</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Prioritize risks based on severity and business impact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Assessment Committee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rating and prioritization matrix</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Mitigation Planning</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Define actions to reduce or eliminate identified risks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Reporting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Effectiveness of mitigation strategies</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Monitoring</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Continuously track risk indicators and mitigation progress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Employee Relations Team</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Frequency and accuracy of monitoring reports</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Review &amp; Reporting</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Document findings and report to management</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Human Resources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Timeliness and completeness of reports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Financial Stability Risk Analysis</w:t>
      </w:r>
    </w:p>
    <w:p>
      <w:pPr>
        <w:spacing w:after="120"/>
      </w:pPr>
      <w:r>
        <w:rPr>
          <w:rFonts w:ascii="Arial" w:hAnsi="Arial"/>
          <w:b w:val="0"/>
          <w:i w:val="0"/>
          <w:color w:val="222222"/>
          <w:sz w:val="22"/>
        </w:rPr>
        <w:t>turabit evaluates supplier financial stability using 1. Current Ratio ≥ 1.5 2. Debt-to-Equity Ratio ≤ 2.0 3. Net Profit Margin ≥ 10% 4. Revenue Growth ≥ 5% annually 5. Minimum credit rating BBB 6. Positive cash flow last 3 years 7. Unqualified audit opinion.</w:t>
      </w:r>
    </w:p>
    <w:p>
      <w:pPr>
        <w:spacing w:after="120"/>
      </w:pPr>
    </w:p>
    <w:p>
      <w:pPr>
        <w:spacing w:before="240" w:after="100"/>
        <w:pBdr>
          <w:bottom w:val="single" w:sz="6" w:space="1" w:color="2E4057"/>
        </w:pBdr>
      </w:pPr>
      <w:r>
        <w:rPr>
          <w:rFonts w:ascii="Arial" w:hAnsi="Arial"/>
          <w:b/>
          <w:i w:val="0"/>
          <w:color w:val="2E4057"/>
          <w:sz w:val="26"/>
        </w:rPr>
        <w:t>Operational Risk Evaluation</w:t>
      </w:r>
    </w:p>
    <w:p>
      <w:pPr>
        <w:spacing w:after="120"/>
      </w:pPr>
      <w:r>
        <w:rPr>
          <w:rFonts w:ascii="Arial" w:hAnsi="Arial"/>
          <w:b w:val="0"/>
          <w:i w:val="0"/>
          <w:color w:val="222222"/>
          <w:sz w:val="22"/>
        </w:rPr>
        <w:t>Operational risk evaluation includes monitoring SLA compliance rate, incident response and resolution times, system uptime, and project delivery adherence. Dependency on key personnel and integration challenges are assessed. Mitigation involves SLAs with penalties, backup vendors, regular reviews, escalation protocols, technical audits, and business continuity planning.</w:t>
      </w:r>
    </w:p>
    <w:p>
      <w:pPr>
        <w:spacing w:after="120"/>
      </w:pPr>
    </w:p>
    <w:p>
      <w:pPr>
        <w:spacing w:before="240" w:after="100"/>
        <w:pBdr>
          <w:bottom w:val="single" w:sz="6" w:space="1" w:color="2E4057"/>
        </w:pBdr>
      </w:pPr>
      <w:r>
        <w:rPr>
          <w:rFonts w:ascii="Arial" w:hAnsi="Arial"/>
          <w:b/>
          <w:i w:val="0"/>
          <w:color w:val="2E4057"/>
          <w:sz w:val="26"/>
        </w:rPr>
        <w:t>Compliance and Regulatory Risk Review</w:t>
      </w:r>
    </w:p>
    <w:p>
      <w:pPr>
        <w:spacing w:after="120"/>
      </w:pPr>
      <w:r>
        <w:rPr>
          <w:rFonts w:ascii="Arial" w:hAnsi="Arial"/>
          <w:b w:val="0"/>
          <w:i w:val="0"/>
          <w:color w:val="222222"/>
          <w:sz w:val="22"/>
        </w:rPr>
        <w:t>Suppliers must comply with ISO 27001, ISO 9001, SOC 2 Type II, GDPR, India IT Act, PCI DSS, HIPAA, BC/DR, ISO 37001, and local statutory registrations. Compliance is monitored quarterly, with annual third-party verification, continuous oversight, and risk-based reviews. Recent regulatory updates include data protection, cybersecurity, and tax changes.</w:t>
      </w:r>
    </w:p>
    <w:p>
      <w:pPr>
        <w:spacing w:after="120"/>
      </w:pPr>
    </w:p>
    <w:p>
      <w:pPr>
        <w:spacing w:before="240" w:after="100"/>
        <w:pBdr>
          <w:bottom w:val="single" w:sz="6" w:space="1" w:color="2E4057"/>
        </w:pBdr>
      </w:pPr>
      <w:r>
        <w:rPr>
          <w:rFonts w:ascii="Arial" w:hAnsi="Arial"/>
          <w:b/>
          <w:i w:val="0"/>
          <w:color w:val="2E4057"/>
          <w:sz w:val="26"/>
        </w:rPr>
        <w:t>Supply Chain Reliability Assessment</w:t>
      </w:r>
    </w:p>
    <w:p>
      <w:pPr>
        <w:spacing w:after="120"/>
      </w:pPr>
      <w:r>
        <w:rPr>
          <w:rFonts w:ascii="Arial" w:hAnsi="Arial"/>
          <w:b w:val="0"/>
          <w:i w:val="0"/>
          <w:color w:val="222222"/>
          <w:sz w:val="22"/>
        </w:rPr>
        <w:t>The supplier maintains a 94% on-time delivery rate over the past 12 months. Their contingency plans include 1. Multi-region infrastructure deployment 2. Backup vendor partnerships 3. Business continuity and disaster recovery plans 4. Inventory buffering 5. Incident response procedures 6. Alternative logistics routes 7. Regular risk assessments.</w:t>
      </w:r>
    </w:p>
    <w:p>
      <w:pPr>
        <w:spacing w:after="120"/>
      </w:pPr>
    </w:p>
    <w:p>
      <w:pPr>
        <w:spacing w:before="240" w:after="100"/>
        <w:pBdr>
          <w:bottom w:val="single" w:sz="6" w:space="1" w:color="2E4057"/>
        </w:pBdr>
      </w:pPr>
      <w:r>
        <w:rPr>
          <w:rFonts w:ascii="Arial" w:hAnsi="Arial"/>
          <w:b/>
          <w:i w:val="0"/>
          <w:color w:val="2E4057"/>
          <w:sz w:val="26"/>
        </w:rPr>
        <w:t>Geographic or Political Risk Considerations</w:t>
      </w:r>
    </w:p>
    <w:p>
      <w:pPr>
        <w:spacing w:after="120"/>
      </w:pPr>
      <w:r>
        <w:rPr>
          <w:rFonts w:ascii="Arial" w:hAnsi="Arial"/>
          <w:b w:val="0"/>
          <w:i w:val="0"/>
          <w:color w:val="222222"/>
          <w:sz w:val="22"/>
        </w:rPr>
        <w:t>The supplier operates in China, Russia, Ukraine, Middle East, Southeast Asia, and Eastern Europe, facing risks from geopolitical tensions, regulatory changes, and trade restrictions. Mitigation includes 1. Supplier diversification 2. Alternative logistics 3. Monitoring developments 4. Legal engagement 5. Contingency planning 6. Contract safeguards 7. Risk reviews.</w:t>
      </w:r>
    </w:p>
    <w:p>
      <w:pPr>
        <w:spacing w:after="120"/>
      </w:pPr>
    </w:p>
    <w:p>
      <w:pPr>
        <w:spacing w:before="240" w:after="100"/>
        <w:pBdr>
          <w:bottom w:val="single" w:sz="6" w:space="1" w:color="2E4057"/>
        </w:pBdr>
      </w:pPr>
      <w:r>
        <w:rPr>
          <w:rFonts w:ascii="Arial" w:hAnsi="Arial"/>
          <w:b/>
          <w:i w:val="0"/>
          <w:color w:val="2E4057"/>
          <w:sz w:val="26"/>
        </w:rPr>
        <w:t>Risk Rating Summary</w:t>
      </w:r>
    </w:p>
    <w:p>
      <w:pPr>
        <w:spacing w:after="120"/>
      </w:pPr>
      <w:r>
        <w:rPr>
          <w:rFonts w:ascii="Arial" w:hAnsi="Arial"/>
          <w:b w:val="0"/>
          <w:i w:val="0"/>
          <w:color w:val="222222"/>
          <w:sz w:val="22"/>
        </w:rPr>
        <w:t>The supplier risk rating is determined using a comprehensive scale evaluating financial stability, operational reliability, compliance, and cybersecurity. Key risk factors include delivery performance, contract adherence, and regulatory exposure. Based on available data, the overall risk rating reflects a moderate risk profile requiring ongoing monitoring and mitigation efforts.</w:t>
      </w:r>
    </w:p>
    <w:p>
      <w:pPr>
        <w:spacing w:after="120"/>
      </w:pPr>
    </w:p>
    <w:p>
      <w:pPr>
        <w:spacing w:before="240" w:after="100"/>
        <w:pBdr>
          <w:bottom w:val="single" w:sz="6" w:space="1" w:color="2E4057"/>
        </w:pBdr>
      </w:pPr>
      <w:r>
        <w:rPr>
          <w:rFonts w:ascii="Arial" w:hAnsi="Arial"/>
          <w:b/>
          <w:i w:val="0"/>
          <w:color w:val="2E4057"/>
          <w:sz w:val="26"/>
        </w:rPr>
        <w:t>Risk Mitigation Strategies</w:t>
      </w:r>
    </w:p>
    <w:p>
      <w:pPr>
        <w:spacing w:after="120"/>
      </w:pPr>
      <w:r>
        <w:rPr>
          <w:rFonts w:ascii="Arial" w:hAnsi="Arial"/>
          <w:b w:val="0"/>
          <w:i w:val="0"/>
          <w:color w:val="222222"/>
          <w:sz w:val="22"/>
        </w:rPr>
        <w:t>Risk mitigation measures include regular supplier evaluations, contract reviews, and performance monitoring. Additional strategies are applied based on predefined risk thresholds such as delivery delays or compliance issues. The Procurement Risk Manager is responsible for ongoing oversight, updating mitigation plans, and coordinating with relevant stakeholders to ensure supplier reliability.</w:t>
      </w:r>
    </w:p>
    <w:p>
      <w:pPr>
        <w:spacing w:after="120"/>
      </w:pPr>
    </w:p>
    <w:p>
      <w:pPr>
        <w:spacing w:before="240" w:after="100"/>
        <w:pBdr>
          <w:bottom w:val="single" w:sz="6" w:space="1" w:color="2E4057"/>
        </w:pBdr>
      </w:pPr>
      <w:r>
        <w:rPr>
          <w:rFonts w:ascii="Arial" w:hAnsi="Arial"/>
          <w:b/>
          <w:i w:val="0"/>
          <w:color w:val="2E4057"/>
          <w:sz w:val="26"/>
        </w:rPr>
        <w:t>Monitoring and Review Plan</w:t>
      </w:r>
    </w:p>
    <w:p>
      <w:pPr>
        <w:spacing w:after="120"/>
      </w:pPr>
      <w:r>
        <w:rPr>
          <w:rFonts w:ascii="Arial" w:hAnsi="Arial"/>
          <w:b w:val="0"/>
          <w:i w:val="0"/>
          <w:color w:val="222222"/>
          <w:sz w:val="22"/>
        </w:rPr>
        <w:t>Supplier risk assessments will be reviewed biannually to ensure ongoing compliance and risk mitigation. The Procurement Risk Manager, supported by the Supplier Performance Team, is responsible for monitoring, updating, and reporting on supplier risks. Ad hoc reviews may be conducted based on significant business or market changes.</w:t>
      </w:r>
    </w:p>
    <w:p>
      <w:pPr>
        <w:spacing w:after="120"/>
      </w:pPr>
    </w:p>
    <w:p>
      <w:pPr>
        <w:spacing w:before="240" w:after="100"/>
        <w:pBdr>
          <w:bottom w:val="single" w:sz="6" w:space="1" w:color="2E4057"/>
        </w:pBdr>
      </w:pPr>
      <w:r>
        <w:rPr>
          <w:rFonts w:ascii="Arial" w:hAnsi="Arial"/>
          <w:b/>
          <w:i w:val="0"/>
          <w:color w:val="2E4057"/>
          <w:sz w:val="26"/>
        </w:rPr>
        <w:t>Approval and Authorization</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Supplier Risk Analyst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Head of Procurement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Supplier Risk Assessment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Supplier Risk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