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Vendor Contract</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Agreement Title and Date</w:t>
      </w:r>
    </w:p>
    <w:p>
      <w:pPr>
        <w:spacing w:after="120"/>
      </w:pPr>
      <w:r>
        <w:rPr>
          <w:rFonts w:ascii="Arial" w:hAnsi="Arial"/>
          <w:b w:val="0"/>
          <w:i w:val="0"/>
          <w:color w:val="222222"/>
          <w:sz w:val="22"/>
        </w:rPr>
        <w:t>This Vendor Supply and Service Agreement (“Agreement”) is entered into by and between turabit, representing its Procurement Department, and the Vendor, effective as of 01 April 2026. The Agreement establishes the terms and conditions governing the supply of products and services to turabit within the Technology and SaaS industry in India. Both parties acknowledge and agree to comply with all obligations stipulated herein from the effective date throughout the duration of the contractual relationship.</w:t>
      </w:r>
    </w:p>
    <w:p>
      <w:pPr>
        <w:spacing w:after="120"/>
      </w:pPr>
    </w:p>
    <w:p>
      <w:pPr>
        <w:spacing w:before="240" w:after="100"/>
        <w:pBdr>
          <w:bottom w:val="single" w:sz="6" w:space="1" w:color="2E4057"/>
        </w:pBdr>
      </w:pPr>
      <w:r>
        <w:rPr>
          <w:rFonts w:ascii="Arial" w:hAnsi="Arial"/>
          <w:b/>
          <w:i w:val="0"/>
          <w:color w:val="2E4057"/>
          <w:sz w:val="26"/>
        </w:rPr>
        <w:t>Parties to the Contract</w:t>
      </w:r>
    </w:p>
    <w:p>
      <w:pPr>
        <w:spacing w:after="120"/>
      </w:pPr>
      <w:r>
        <w:rPr>
          <w:rFonts w:ascii="Arial" w:hAnsi="Arial"/>
          <w:b w:val="0"/>
          <w:i w:val="0"/>
          <w:color w:val="222222"/>
          <w:sz w:val="22"/>
        </w:rPr>
        <w:t>This Contract is entered into by and between ABC Global Supplies Pvt. Ltd., with its registered address at 402, Business Tower, MG Road, Mumbai, Maharashtra, India – 400001 ("Vendor"), and Turabit Technologies Pvt. Ltd., located at 5th Floor, Tech Park One, SG Highway, Ahmedabad, Gujarat, India – 380015 ("Purchasing Party").</w:t>
      </w:r>
    </w:p>
    <w:p>
      <w:pPr>
        <w:spacing w:after="80"/>
      </w:pPr>
    </w:p>
    <w:p>
      <w:pPr>
        <w:spacing w:after="120"/>
      </w:pPr>
      <w:r>
        <w:rPr>
          <w:rFonts w:ascii="Arial" w:hAnsi="Arial"/>
          <w:b w:val="0"/>
          <w:i w:val="0"/>
          <w:color w:val="222222"/>
          <w:sz w:val="22"/>
        </w:rPr>
        <w:t>The authorized representatives for execution are Rahul Mehta, Senior Account Manager, for the Vendor, and Rajiv Menon, Head of Procurement, for the Purchasing Party.</w:t>
      </w:r>
    </w:p>
    <w:p>
      <w:pPr>
        <w:spacing w:after="120"/>
      </w:pPr>
    </w:p>
    <w:p>
      <w:pPr>
        <w:spacing w:before="240" w:after="100"/>
        <w:pBdr>
          <w:bottom w:val="single" w:sz="6" w:space="1" w:color="2E4057"/>
        </w:pBdr>
      </w:pPr>
      <w:r>
        <w:rPr>
          <w:rFonts w:ascii="Arial" w:hAnsi="Arial"/>
          <w:b/>
          <w:i w:val="0"/>
          <w:color w:val="2E4057"/>
          <w:sz w:val="26"/>
        </w:rPr>
        <w:t>Purpose of the Agreement</w:t>
      </w:r>
    </w:p>
    <w:p>
      <w:pPr>
        <w:spacing w:after="120"/>
      </w:pPr>
      <w:r>
        <w:rPr>
          <w:rFonts w:ascii="Arial" w:hAnsi="Arial"/>
          <w:b w:val="0"/>
          <w:i w:val="0"/>
          <w:color w:val="222222"/>
          <w:sz w:val="22"/>
        </w:rPr>
        <w:t>The purpose of this Agreement is to establish the terms under which turabit will procure AI-powered workflow automation solutions from the vendor. These solutions include custom NLP model development, document processing systems, API integrations, and ongoing technical support and maintenance. The Agreement aims to enhance operational efficiency, improve accuracy and consistency in data processing, enable scalable AI-driven solutions, reduce costs and turnaround times, and ensure reliable technical support for continuous optimization.</w:t>
      </w:r>
    </w:p>
    <w:p>
      <w:pPr>
        <w:spacing w:after="120"/>
      </w:pPr>
    </w:p>
    <w:p>
      <w:pPr>
        <w:spacing w:before="240" w:after="100"/>
        <w:pBdr>
          <w:bottom w:val="single" w:sz="6" w:space="1" w:color="2E4057"/>
        </w:pBdr>
      </w:pPr>
      <w:r>
        <w:rPr>
          <w:rFonts w:ascii="Arial" w:hAnsi="Arial"/>
          <w:b/>
          <w:i w:val="0"/>
          <w:color w:val="2E4057"/>
          <w:sz w:val="26"/>
        </w:rPr>
        <w:t>Scope of Supply</w:t>
      </w:r>
    </w:p>
    <w:p>
      <w:pPr>
        <w:spacing w:after="120"/>
      </w:pPr>
      <w:r>
        <w:rPr>
          <w:rFonts w:ascii="Arial" w:hAnsi="Arial"/>
          <w:b w:val="0"/>
          <w:i w:val="0"/>
          <w:color w:val="222222"/>
          <w:sz w:val="22"/>
        </w:rPr>
        <w:t>The vendor shall supply AI-based automation solutions including software development, system integration, API deployment, documentation, and ongoing maintenance and technical support. Delivery milestones include requirement analysis and design approval within 15 days, core system modules within 30 days, development and internal testing within 60 days, and full deployment with user acceptance testing within 90 days. Exclusions include third-party licensing costs, client-provisioned infrastructure, and support limited to business hours unless agreed otherwise. Customizations require separate approval.</w:t>
      </w:r>
    </w:p>
    <w:p>
      <w:pPr>
        <w:spacing w:after="120"/>
      </w:pPr>
    </w:p>
    <w:p>
      <w:pPr>
        <w:spacing w:before="240" w:after="100"/>
        <w:pBdr>
          <w:bottom w:val="single" w:sz="6" w:space="1" w:color="2E4057"/>
        </w:pBdr>
      </w:pPr>
      <w:r>
        <w:rPr>
          <w:rFonts w:ascii="Arial" w:hAnsi="Arial"/>
          <w:b/>
          <w:i w:val="0"/>
          <w:color w:val="2E4057"/>
          <w:sz w:val="26"/>
        </w:rPr>
        <w:t>Product or Service Specifications</w:t>
      </w:r>
    </w:p>
    <w:p>
      <w:pPr>
        <w:spacing w:after="120"/>
      </w:pPr>
      <w:r>
        <w:rPr>
          <w:rFonts w:ascii="Arial" w:hAnsi="Arial"/>
          <w:b w:val="0"/>
          <w:i w:val="0"/>
          <w:color w:val="222222"/>
          <w:sz w:val="22"/>
        </w:rPr>
        <w:t>The product shall include AI-powered document processing with NLP-based extraction, customizable workflow automation, RESTful API integration, scalable cloud architecture, RBAC, real-time analytics dashboards, secure AES-256 encrypted storage, multi-format document support, and version control with audit trails.</w:t>
      </w:r>
    </w:p>
    <w:p>
      <w:pPr>
        <w:spacing w:after="80"/>
      </w:pPr>
    </w:p>
    <w:p>
      <w:pPr>
        <w:spacing w:after="120"/>
      </w:pPr>
      <w:r>
        <w:rPr>
          <w:rFonts w:ascii="Arial" w:hAnsi="Arial"/>
          <w:b w:val="0"/>
          <w:i w:val="0"/>
          <w:color w:val="222222"/>
          <w:sz w:val="22"/>
        </w:rPr>
        <w:t>Performance standards require 99.5% uptime, API response under 2 seconds, incident response within 2 hours for critical issues, 95% data accuracy, scheduled maintenance with 48-hour notice, and continuous monitoring. Compliance with GDPR, ISO/IEC 27001, OWASP, and relevant industry regulations is mandatory.</w:t>
      </w:r>
    </w:p>
    <w:p>
      <w:pPr>
        <w:spacing w:after="120"/>
      </w:pPr>
    </w:p>
    <w:p>
      <w:pPr>
        <w:spacing w:before="240" w:after="100"/>
        <w:pBdr>
          <w:bottom w:val="single" w:sz="6" w:space="1" w:color="2E4057"/>
        </w:pBdr>
      </w:pPr>
      <w:r>
        <w:rPr>
          <w:rFonts w:ascii="Arial" w:hAnsi="Arial"/>
          <w:b/>
          <w:i w:val="0"/>
          <w:color w:val="2E4057"/>
          <w:sz w:val="26"/>
        </w:rPr>
        <w:t>Pricing and Payment Terms</w:t>
      </w:r>
    </w:p>
    <w:p>
      <w:pPr>
        <w:spacing w:after="120"/>
      </w:pPr>
      <w:r>
        <w:rPr>
          <w:rFonts w:ascii="Arial" w:hAnsi="Arial"/>
          <w:b w:val="0"/>
          <w:i w:val="0"/>
          <w:color w:val="222222"/>
          <w:sz w:val="22"/>
        </w:rPr>
        <w:t>The following table outlines the agreed pricing milestones, payment schedules, and associated conditions for the services provided under this contract.</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Payment Milestone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Due Date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Payment Amount</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Payment Conditions / Notes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Contract Signing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USD 10,000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Payable upon execution of the agreement</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Requirement Finalization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2026-04-15</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USD 15,000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Upon approval of documented requirements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Development Completion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2026-05-30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USD 25,000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After successful completion of development phase</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Deployment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USD 20,000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Upon deployment and initial system validation</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User Acceptance Testing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2026-07-10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USD 15,000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After successful UAT sign-off</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Post-Deployment Support Fee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2026-08-01</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USD 5,000 (monthly)</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Recurring monthly payment for maintenance and support services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Delivery and Logistics Terms</w:t>
      </w:r>
    </w:p>
    <w:p>
      <w:pPr>
        <w:spacing w:after="120"/>
      </w:pPr>
      <w:r>
        <w:rPr>
          <w:rFonts w:ascii="Arial" w:hAnsi="Arial"/>
          <w:b w:val="0"/>
          <w:i w:val="0"/>
          <w:color w:val="222222"/>
          <w:sz w:val="22"/>
        </w:rPr>
        <w:t>The following table outlines the agreed delivery and logistics terms including delivery methods, timelines, responsibilities, and penalties for delays.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Delivery Method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Delivery Timeline (Days)</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Shipping Responsibility</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Penalties for Delay</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Digital Delivery (API)</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 of milestone value per day of delay</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Deployment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 of milestone value per day</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Secure File Transfer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 of milestone value per day</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On-Premise Installation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 of milestone value per day</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Documentation Delivery</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Fixed penalty of USD 200 per day</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Maintenance Updates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 (per update cycle)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0.5% of monthly fee per day</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Quality Standards and Compliance</w:t>
      </w:r>
    </w:p>
    <w:p>
      <w:pPr>
        <w:spacing w:after="120"/>
      </w:pPr>
      <w:r>
        <w:rPr>
          <w:rFonts w:ascii="Arial" w:hAnsi="Arial"/>
          <w:b w:val="0"/>
          <w:i w:val="0"/>
          <w:color w:val="222222"/>
          <w:sz w:val="22"/>
        </w:rPr>
        <w:t>The vendor must comply with ISO/IEC 27001, ISO 9001, SOC 2 Type II (if applicable), OWASP standards, relevant data protection laws, and industry-specific regulations. Compliance includes 1. submission of periodic reports 2. maintaining audit logs 3. immediate incident notification 4. participation in audits 5. continuous SLA monitoring 6. documenting corrective actions 7. ensuring traceability and transparency. All compliance activities must be documented and auditable throughout the contract term to meet turabit’s quality and security requirements.</w:t>
      </w:r>
    </w:p>
    <w:p>
      <w:pPr>
        <w:spacing w:after="120"/>
      </w:pPr>
    </w:p>
    <w:p>
      <w:pPr>
        <w:spacing w:before="240" w:after="100"/>
        <w:pBdr>
          <w:bottom w:val="single" w:sz="6" w:space="1" w:color="2E4057"/>
        </w:pBdr>
      </w:pPr>
      <w:r>
        <w:rPr>
          <w:rFonts w:ascii="Arial" w:hAnsi="Arial"/>
          <w:b/>
          <w:i w:val="0"/>
          <w:color w:val="2E4057"/>
          <w:sz w:val="26"/>
        </w:rPr>
        <w:t>Confidentiality Obligations</w:t>
      </w:r>
    </w:p>
    <w:p>
      <w:pPr>
        <w:spacing w:after="120"/>
      </w:pPr>
      <w:r>
        <w:rPr>
          <w:rFonts w:ascii="Arial" w:hAnsi="Arial"/>
          <w:b w:val="0"/>
          <w:i w:val="0"/>
          <w:color w:val="222222"/>
          <w:sz w:val="22"/>
        </w:rPr>
        <w:t>Confidential information includes business strategies, technical data, customer data, proprietary processes, product designs, contracts, and any non-public information disclosed in any form and identified as confidential. Use of such information is strictly limited to contract fulfillment. Disclosure is permitted only to authorized personnel on a need-to-know basis. Appropriate safeguards must be applied. No copying, modification, or distribution without prior consent. Third-party disclosure is prohibited unless required by law. Upon termination, all confidential information must be returned or destroyed. Obligations survive contract termination for two years.</w:t>
      </w:r>
    </w:p>
    <w:p>
      <w:pPr>
        <w:spacing w:after="120"/>
      </w:pPr>
    </w:p>
    <w:p>
      <w:pPr>
        <w:spacing w:before="240" w:after="100"/>
        <w:pBdr>
          <w:bottom w:val="single" w:sz="6" w:space="1" w:color="2E4057"/>
        </w:pBdr>
      </w:pPr>
      <w:r>
        <w:rPr>
          <w:rFonts w:ascii="Arial" w:hAnsi="Arial"/>
          <w:b/>
          <w:i w:val="0"/>
          <w:color w:val="2E4057"/>
          <w:sz w:val="26"/>
        </w:rPr>
        <w:t>Termination Conditions</w:t>
      </w:r>
    </w:p>
    <w:p>
      <w:pPr>
        <w:spacing w:after="120"/>
      </w:pPr>
      <w:r>
        <w:rPr>
          <w:rFonts w:ascii="Arial" w:hAnsi="Arial"/>
          <w:b w:val="0"/>
          <w:i w:val="0"/>
          <w:color w:val="222222"/>
          <w:sz w:val="22"/>
        </w:rPr>
        <w:t>Either party may terminate the contract without cause by providing a minimum of 30 days’ prior written notice. Immediate termination without notice is permitted under the following conditions:</w:t>
      </w:r>
    </w:p>
    <w:p>
      <w:pPr>
        <w:spacing w:after="80"/>
      </w:pPr>
    </w:p>
    <w:p>
      <w:pPr>
        <w:spacing w:after="80"/>
        <w:ind w:left="360"/>
      </w:pPr>
      <w:r>
        <w:rPr>
          <w:rFonts w:ascii="Arial" w:hAnsi="Arial"/>
          <w:b w:val="0"/>
          <w:i w:val="0"/>
          <w:color w:val="222222"/>
          <w:sz w:val="22"/>
        </w:rPr>
        <w:t>1. Material breach not cured within 15 days</w:t>
      </w:r>
    </w:p>
    <w:p>
      <w:pPr>
        <w:spacing w:after="80"/>
        <w:ind w:left="360"/>
      </w:pPr>
      <w:r>
        <w:rPr>
          <w:rFonts w:ascii="Arial" w:hAnsi="Arial"/>
          <w:b w:val="0"/>
          <w:i w:val="0"/>
          <w:color w:val="222222"/>
          <w:sz w:val="22"/>
        </w:rPr>
        <w:t>2. Insolvency, bankruptcy, or liquidation</w:t>
      </w:r>
    </w:p>
    <w:p>
      <w:pPr>
        <w:spacing w:after="80"/>
        <w:ind w:left="360"/>
      </w:pPr>
      <w:r>
        <w:rPr>
          <w:rFonts w:ascii="Arial" w:hAnsi="Arial"/>
          <w:b w:val="0"/>
          <w:i w:val="0"/>
          <w:color w:val="222222"/>
          <w:sz w:val="22"/>
        </w:rPr>
        <w:t>3. Unauthorized disclosure or misuse of confidential information</w:t>
      </w:r>
    </w:p>
    <w:p>
      <w:pPr>
        <w:spacing w:after="80"/>
        <w:ind w:left="360"/>
      </w:pPr>
      <w:r>
        <w:rPr>
          <w:rFonts w:ascii="Arial" w:hAnsi="Arial"/>
          <w:b w:val="0"/>
          <w:i w:val="0"/>
          <w:color w:val="222222"/>
          <w:sz w:val="22"/>
        </w:rPr>
        <w:t>4. Violation of applicable laws or regulations</w:t>
      </w:r>
    </w:p>
    <w:p>
      <w:pPr>
        <w:spacing w:after="80"/>
        <w:ind w:left="360"/>
      </w:pPr>
      <w:r>
        <w:rPr>
          <w:rFonts w:ascii="Arial" w:hAnsi="Arial"/>
          <w:b w:val="0"/>
          <w:i w:val="0"/>
          <w:color w:val="222222"/>
          <w:sz w:val="22"/>
        </w:rPr>
        <w:t>5. Change of control adversely affecting performance</w:t>
      </w:r>
    </w:p>
    <w:p>
      <w:pPr>
        <w:spacing w:after="80"/>
        <w:ind w:left="360"/>
      </w:pPr>
      <w:r>
        <w:rPr>
          <w:rFonts w:ascii="Arial" w:hAnsi="Arial"/>
          <w:b w:val="0"/>
          <w:i w:val="0"/>
          <w:color w:val="222222"/>
          <w:sz w:val="22"/>
        </w:rPr>
        <w:t>6. Repeated failure to meet agreed service levels or performance standards.</w:t>
      </w:r>
    </w:p>
    <w:p>
      <w:pPr>
        <w:spacing w:after="120"/>
      </w:pPr>
    </w:p>
    <w:p>
      <w:pPr>
        <w:spacing w:before="240" w:after="100"/>
        <w:pBdr>
          <w:bottom w:val="single" w:sz="6" w:space="1" w:color="2E4057"/>
        </w:pBdr>
      </w:pPr>
      <w:r>
        <w:rPr>
          <w:rFonts w:ascii="Arial" w:hAnsi="Arial"/>
          <w:b/>
          <w:i w:val="0"/>
          <w:color w:val="2E4057"/>
          <w:sz w:val="26"/>
        </w:rPr>
        <w:t>Dispute Resolution</w:t>
      </w:r>
    </w:p>
    <w:p>
      <w:pPr>
        <w:spacing w:after="120"/>
      </w:pPr>
      <w:r>
        <w:rPr>
          <w:rFonts w:ascii="Arial" w:hAnsi="Arial"/>
          <w:b w:val="0"/>
          <w:i w:val="0"/>
          <w:color w:val="222222"/>
          <w:sz w:val="22"/>
        </w:rPr>
        <w:t>Any disputes arising from or relating to this contract shall be resolved through good faith negotiations between the parties. If unresolved, disputes will proceed to mediation, followed by binding arbitration under the Arbitration and Conciliation Act, 1996. The governing law shall be the laws of India. A written notice specifying the nature of the dispute must be provided within 30 days of the event giving rise to the dispute. Both parties agree to cooperate fully to achieve an efficient resolution.</w:t>
      </w:r>
    </w:p>
    <w:p>
      <w:pPr>
        <w:spacing w:after="120"/>
      </w:pPr>
    </w:p>
    <w:p>
      <w:pPr>
        <w:spacing w:before="240" w:after="100"/>
        <w:pBdr>
          <w:bottom w:val="single" w:sz="6" w:space="1" w:color="2E4057"/>
        </w:pBdr>
      </w:pPr>
      <w:r>
        <w:rPr>
          <w:rFonts w:ascii="Arial" w:hAnsi="Arial"/>
          <w:b/>
          <w:i w:val="0"/>
          <w:color w:val="2E4057"/>
          <w:sz w:val="26"/>
        </w:rPr>
        <w:t>Governing Law</w:t>
      </w:r>
    </w:p>
    <w:p>
      <w:pPr>
        <w:spacing w:after="120"/>
      </w:pPr>
      <w:r>
        <w:rPr>
          <w:rFonts w:ascii="Arial" w:hAnsi="Arial"/>
          <w:b w:val="0"/>
          <w:i w:val="0"/>
          <w:color w:val="222222"/>
          <w:sz w:val="22"/>
        </w:rPr>
        <w:t>The validity, interpretation, and enforcement of this Vendor Contract shall be governed by and construed in accordance with the laws of the Republic of India. Any disputes arising out of or related to this agreement shall be subject to the exclusive jurisdiction of the competent courts located in the city of Bangalore, Karnataka. Both parties agree to comply with all applicable laws and regulations governing the performance of their obligations under this contract. No conflicts of law principles shall apply.</w:t>
      </w:r>
    </w:p>
    <w:p>
      <w:pPr>
        <w:spacing w:after="120"/>
      </w:pPr>
    </w:p>
    <w:p>
      <w:pPr>
        <w:spacing w:before="240" w:after="100"/>
        <w:pBdr>
          <w:bottom w:val="single" w:sz="6" w:space="1" w:color="2E4057"/>
        </w:pBdr>
      </w:pPr>
      <w:r>
        <w:rPr>
          <w:rFonts w:ascii="Arial" w:hAnsi="Arial"/>
          <w:b/>
          <w:i w:val="0"/>
          <w:color w:val="2E4057"/>
          <w:sz w:val="26"/>
        </w:rPr>
        <w:t>Authorized Signatures</w:t>
      </w:r>
    </w:p>
    <w:p>
      <w:pPr>
        <w:spacing w:after="120"/>
      </w:pPr>
      <w:r>
        <w:rPr>
          <w:rFonts w:ascii="Arial" w:hAnsi="Arial"/>
          <w:b w:val="0"/>
          <w:i w:val="0"/>
          <w:color w:val="222222"/>
          <w:sz w:val="22"/>
        </w:rPr>
        <w:t>This document requires the following authorised signatures for formal approval and execution.</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Counsel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Relations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Vendor Contract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Vendor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