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Vendor Evaluation Report</w:t>
      </w:r>
    </w:p>
    <w:p>
      <w:pPr>
        <w:spacing w:after="120"/>
      </w:pPr>
      <w:r>
        <w:rPr>
          <w:rFonts w:ascii="Arial" w:hAnsi="Arial"/>
          <w:b w:val="0"/>
          <w:i w:val="0"/>
          <w:color w:val="888888"/>
          <w:sz w:val="20"/>
        </w:rPr>
        <w:t>turabit  ·  Procurement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Date of report: 01 April 2026.</w:t>
      </w:r>
    </w:p>
    <w:p>
      <w:pPr>
        <w:spacing w:after="80"/>
      </w:pPr>
    </w:p>
    <w:p>
      <w:pPr>
        <w:spacing w:after="120"/>
      </w:pPr>
      <w:r>
        <w:rPr>
          <w:rFonts w:ascii="Arial" w:hAnsi="Arial"/>
          <w:b w:val="0"/>
          <w:i w:val="0"/>
          <w:color w:val="222222"/>
          <w:sz w:val="22"/>
        </w:rPr>
        <w:t>Author: Procurement Analyst, turabit Procurement Department, Technology / SaaS industry, India region.</w:t>
      </w:r>
    </w:p>
    <w:p>
      <w:pPr>
        <w:spacing w:after="80"/>
      </w:pPr>
    </w:p>
    <w:p>
      <w:pPr>
        <w:spacing w:after="120"/>
      </w:pPr>
      <w:r>
        <w:rPr>
          <w:rFonts w:ascii="Arial" w:hAnsi="Arial"/>
          <w:b w:val="0"/>
          <w:i w:val="0"/>
          <w:color w:val="222222"/>
          <w:sz w:val="22"/>
        </w:rPr>
        <w:t>Version: 1.0, Initial Release dated 01 April 2026. Revision history maintained as per departmental standards.</w:t>
      </w:r>
    </w:p>
    <w:p>
      <w:pPr>
        <w:spacing w:after="120"/>
      </w:pPr>
    </w:p>
    <w:p>
      <w:pPr>
        <w:spacing w:before="240" w:after="100"/>
        <w:pBdr>
          <w:bottom w:val="single" w:sz="6" w:space="1" w:color="2E4057"/>
        </w:pBdr>
      </w:pPr>
      <w:r>
        <w:rPr>
          <w:rFonts w:ascii="Arial" w:hAnsi="Arial"/>
          <w:b/>
          <w:i w:val="0"/>
          <w:color w:val="2E4057"/>
          <w:sz w:val="26"/>
        </w:rPr>
        <w:t>Supplier Identification Details</w:t>
      </w:r>
    </w:p>
    <w:p>
      <w:pPr>
        <w:spacing w:after="120"/>
      </w:pPr>
      <w:r>
        <w:rPr>
          <w:rFonts w:ascii="Arial" w:hAnsi="Arial"/>
          <w:b w:val="0"/>
          <w:i w:val="0"/>
          <w:color w:val="222222"/>
          <w:sz w:val="22"/>
        </w:rPr>
        <w:t>Supplier company ABC Global Supplies Pvt. Ltd. is registered at 402, Business Tower, MG Road, Mumbai, Maharashtra, India – 400001. Primary contact is Rahul Mehta, Senior Account Manager, reachable via email and phone. Registration number U51909MH2015PTC268945, GSTIN 27AABCU9603R1ZV.</w:t>
      </w:r>
    </w:p>
    <w:p>
      <w:pPr>
        <w:spacing w:after="120"/>
      </w:pPr>
    </w:p>
    <w:p>
      <w:pPr>
        <w:spacing w:before="240" w:after="100"/>
        <w:pBdr>
          <w:bottom w:val="single" w:sz="6" w:space="1" w:color="2E4057"/>
        </w:pBdr>
      </w:pPr>
      <w:r>
        <w:rPr>
          <w:rFonts w:ascii="Arial" w:hAnsi="Arial"/>
          <w:b/>
          <w:i w:val="0"/>
          <w:color w:val="2E4057"/>
          <w:sz w:val="26"/>
        </w:rPr>
        <w:t>Purpose of Evaluation</w:t>
      </w:r>
    </w:p>
    <w:p>
      <w:pPr>
        <w:spacing w:after="120"/>
      </w:pPr>
      <w:r>
        <w:rPr>
          <w:rFonts w:ascii="Arial" w:hAnsi="Arial"/>
          <w:b w:val="0"/>
          <w:i w:val="0"/>
          <w:color w:val="222222"/>
          <w:sz w:val="22"/>
        </w:rPr>
        <w:t>Turabit evaluates vendors to ensure service quality, cost efficiency, compliance, timely delivery, data security, scalability, and reliability. The goal is to improve performance, optimize costs, mitigate risks, enhance service, and strengthen long-term vendor partnerships.</w:t>
      </w:r>
    </w:p>
    <w:p>
      <w:pPr>
        <w:spacing w:after="120"/>
      </w:pPr>
    </w:p>
    <w:p>
      <w:pPr>
        <w:spacing w:before="240" w:after="100"/>
        <w:pBdr>
          <w:bottom w:val="single" w:sz="6" w:space="1" w:color="2E4057"/>
        </w:pBdr>
      </w:pPr>
      <w:r>
        <w:rPr>
          <w:rFonts w:ascii="Arial" w:hAnsi="Arial"/>
          <w:b/>
          <w:i w:val="0"/>
          <w:color w:val="2E4057"/>
          <w:sz w:val="26"/>
        </w:rPr>
        <w:t>Evaluation Criteria Overview</w:t>
      </w:r>
    </w:p>
    <w:p>
      <w:pPr>
        <w:spacing w:after="120"/>
      </w:pPr>
      <w:r>
        <w:rPr>
          <w:rFonts w:ascii="Arial" w:hAnsi="Arial"/>
          <w:b w:val="0"/>
          <w:i w:val="0"/>
          <w:color w:val="222222"/>
          <w:sz w:val="22"/>
        </w:rPr>
        <w:t>The vendor evaluation at turabit prioritizes cost competitiveness and quality standards, each weighted at 20 percent. Delivery performance and compliance carry 15 percent each, while service, financial stability, scalability, and innovation complete the assessment framework.</w:t>
      </w:r>
    </w:p>
    <w:p>
      <w:pPr>
        <w:spacing w:after="120"/>
      </w:pPr>
    </w:p>
    <w:p>
      <w:pPr>
        <w:spacing w:before="240" w:after="100"/>
        <w:pBdr>
          <w:bottom w:val="single" w:sz="6" w:space="1" w:color="2E4057"/>
        </w:pBdr>
      </w:pPr>
      <w:r>
        <w:rPr>
          <w:rFonts w:ascii="Arial" w:hAnsi="Arial"/>
          <w:b/>
          <w:i w:val="0"/>
          <w:color w:val="2E4057"/>
          <w:sz w:val="26"/>
        </w:rPr>
        <w:t>Product or Service Quality Assessment</w:t>
      </w:r>
    </w:p>
    <w:p>
      <w:pPr>
        <w:spacing w:after="120"/>
      </w:pPr>
      <w:r>
        <w:rPr>
          <w:rFonts w:ascii="Arial" w:hAnsi="Arial"/>
          <w:b w:val="0"/>
          <w:i w:val="0"/>
          <w:color w:val="222222"/>
          <w:sz w:val="22"/>
        </w:rPr>
        <w:t>Vendor quality performance meets turabit’s standards with defect rate at 1.8%, on-time delivery at 96.5%, and service quality score of 4.5. Documented issues were resolved through CAPA, ensuring ongoing compliance and improvement.</w:t>
      </w:r>
    </w:p>
    <w:p>
      <w:pPr>
        <w:spacing w:after="120"/>
      </w:pPr>
    </w:p>
    <w:p>
      <w:pPr>
        <w:spacing w:before="240" w:after="100"/>
        <w:pBdr>
          <w:bottom w:val="single" w:sz="6" w:space="1" w:color="2E4057"/>
        </w:pBdr>
      </w:pPr>
      <w:r>
        <w:rPr>
          <w:rFonts w:ascii="Arial" w:hAnsi="Arial"/>
          <w:b/>
          <w:i w:val="0"/>
          <w:color w:val="2E4057"/>
          <w:sz w:val="26"/>
        </w:rPr>
        <w:t>Delivery Performance Evaluation</w:t>
      </w:r>
    </w:p>
    <w:p>
      <w:pPr>
        <w:spacing w:after="120"/>
      </w:pPr>
      <w:r>
        <w:rPr>
          <w:rFonts w:ascii="Arial" w:hAnsi="Arial"/>
          <w:b w:val="0"/>
          <w:i w:val="0"/>
          <w:color w:val="222222"/>
          <w:sz w:val="22"/>
        </w:rPr>
        <w:t>The vendor achieved a 96.5% on-time delivery rate with an average lead time of 5 business days. There were 3 instances of delivery delays exceeding agreed SLAs, indicating generally reliable but occasionally inconsistent performance.</w:t>
      </w:r>
    </w:p>
    <w:p>
      <w:pPr>
        <w:spacing w:after="120"/>
      </w:pPr>
    </w:p>
    <w:p>
      <w:pPr>
        <w:spacing w:before="240" w:after="100"/>
        <w:pBdr>
          <w:bottom w:val="single" w:sz="6" w:space="1" w:color="2E4057"/>
        </w:pBdr>
      </w:pPr>
      <w:r>
        <w:rPr>
          <w:rFonts w:ascii="Arial" w:hAnsi="Arial"/>
          <w:b/>
          <w:i w:val="0"/>
          <w:color w:val="2E4057"/>
          <w:sz w:val="26"/>
        </w:rPr>
        <w:t>Pricing Competitiveness Analysis</w:t>
      </w:r>
    </w:p>
    <w:p>
      <w:pPr>
        <w:spacing w:after="120"/>
      </w:pPr>
      <w:r>
        <w:rPr>
          <w:rFonts w:ascii="Arial" w:hAnsi="Arial"/>
          <w:b w:val="0"/>
          <w:i w:val="0"/>
          <w:color w:val="222222"/>
          <w:sz w:val="22"/>
        </w:rPr>
        <w:t>The following table presents a comprehensive pricing competitiveness analysis of the evaluated vendors based on quality, price, delivery, and support metrics, along with overall recommendations and relevant notes.</w:t>
      </w:r>
    </w:p>
    <w:p>
      <w:pPr>
        <w:spacing w:after="80"/>
      </w:pPr>
    </w:p>
    <w:tbl>
      <w:tblPr>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Vendor Name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Quality Score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Price Score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Delivery Score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Support Score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Total Score</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Recommendation</w:t>
            </w:r>
          </w:p>
        </w:tc>
        <w:tc>
          <w:tcPr>
            <w:tcW w:type="dxa" w:w="117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Notes/Comments</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ABC Global Supplies Pvt. Ltd.</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92</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88</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96</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90</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92</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Accept</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Consistent high performance across all KPIs; preferred vendor</w:t>
            </w:r>
          </w:p>
        </w:tc>
      </w:tr>
      <w:tr>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Nexus Industrial Solutions</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89</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91</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93</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87</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90</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Accept</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Strong pricing advantage; minor support improvement recommended</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PrimeSource Technologies</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85</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86</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88</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84</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86</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Review</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Requires improvement in delivery consistency and service responsiveness</w:t>
            </w:r>
          </w:p>
        </w:tc>
      </w:tr>
      <w:tr>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DeltaEdge Procurement Services</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80</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83</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85</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82</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83</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Review</w:t>
            </w:r>
          </w:p>
        </w:tc>
        <w:tc>
          <w:tcPr>
            <w:tcW w:type="dxa" w:w="117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Moderate performance; cost optimization and SLA adherence need improvement</w:t>
            </w:r>
          </w:p>
        </w:tc>
      </w:tr>
      <w:tr>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Vertex Supply Chain Ltd.</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76</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79</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81</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78</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79</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Reject</w:t>
            </w:r>
          </w:p>
        </w:tc>
        <w:tc>
          <w:tcPr>
            <w:tcW w:type="dxa" w:w="117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Below acceptable thresholds in multiple areas; not recommended for engagement</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Supplier Reliability Assessment</w:t>
      </w:r>
    </w:p>
    <w:p>
      <w:pPr>
        <w:spacing w:after="120"/>
      </w:pPr>
      <w:r>
        <w:rPr>
          <w:rFonts w:ascii="Arial" w:hAnsi="Arial"/>
          <w:b w:val="0"/>
          <w:i w:val="0"/>
          <w:color w:val="222222"/>
          <w:sz w:val="22"/>
        </w:rPr>
        <w:t>The supplier demonstrated a 95.8% on-time delivery rate over 12 months with a 1.9% defect rate. No significant supply chain disruptions or compliance violations occurred, and minor delays were effectively resolved without lasting impact.</w:t>
      </w:r>
    </w:p>
    <w:p>
      <w:pPr>
        <w:spacing w:after="120"/>
      </w:pPr>
    </w:p>
    <w:p>
      <w:pPr>
        <w:spacing w:before="240" w:after="100"/>
        <w:pBdr>
          <w:bottom w:val="single" w:sz="6" w:space="1" w:color="2E4057"/>
        </w:pBdr>
      </w:pPr>
      <w:r>
        <w:rPr>
          <w:rFonts w:ascii="Arial" w:hAnsi="Arial"/>
          <w:b/>
          <w:i w:val="0"/>
          <w:color w:val="2E4057"/>
          <w:sz w:val="26"/>
        </w:rPr>
        <w:t>Compliance and Certification Review</w:t>
      </w:r>
    </w:p>
    <w:p>
      <w:pPr>
        <w:spacing w:after="120"/>
      </w:pPr>
      <w:r>
        <w:rPr>
          <w:rFonts w:ascii="Arial" w:hAnsi="Arial"/>
          <w:b w:val="0"/>
          <w:i w:val="0"/>
          <w:color w:val="222222"/>
          <w:sz w:val="22"/>
        </w:rPr>
        <w:t>The vendor holds ISO/IEC 27001:2022, ISO/IEC 27701:2019, SOC 2 Type II, GDPR compliance, and PCI DSS v4.0 certifications. All certifications were recently renewed with no major issues; minor audit observations were promptly addressed.</w:t>
      </w:r>
    </w:p>
    <w:p>
      <w:pPr>
        <w:spacing w:after="120"/>
      </w:pPr>
    </w:p>
    <w:p>
      <w:pPr>
        <w:spacing w:before="240" w:after="100"/>
        <w:pBdr>
          <w:bottom w:val="single" w:sz="6" w:space="1" w:color="2E4057"/>
        </w:pBdr>
      </w:pPr>
      <w:r>
        <w:rPr>
          <w:rFonts w:ascii="Arial" w:hAnsi="Arial"/>
          <w:b/>
          <w:i w:val="0"/>
          <w:color w:val="2E4057"/>
          <w:sz w:val="26"/>
        </w:rPr>
        <w:t>Communication and Support Evaluation</w:t>
      </w:r>
    </w:p>
    <w:p>
      <w:pPr>
        <w:spacing w:after="120"/>
      </w:pPr>
      <w:r>
        <w:rPr>
          <w:rFonts w:ascii="Arial" w:hAnsi="Arial"/>
          <w:b w:val="0"/>
          <w:i w:val="0"/>
          <w:color w:val="222222"/>
          <w:sz w:val="22"/>
        </w:rPr>
        <w:t>The vendor demonstrated an average response time of 4 hours across multiple channels: email, phone, live chat, ticketing system, and dedicated account manager. Support ticket resolution within SLA was 94%, reflecting strong communication and support effectiveness.</w:t>
      </w:r>
    </w:p>
    <w:p>
      <w:pPr>
        <w:spacing w:after="120"/>
      </w:pPr>
    </w:p>
    <w:p>
      <w:pPr>
        <w:spacing w:before="240" w:after="100"/>
        <w:pBdr>
          <w:bottom w:val="single" w:sz="6" w:space="1" w:color="2E4057"/>
        </w:pBdr>
      </w:pPr>
      <w:r>
        <w:rPr>
          <w:rFonts w:ascii="Arial" w:hAnsi="Arial"/>
          <w:b/>
          <w:i w:val="0"/>
          <w:color w:val="2E4057"/>
          <w:sz w:val="26"/>
        </w:rPr>
        <w:t>Risk Considerations</w:t>
      </w:r>
    </w:p>
    <w:p>
      <w:pPr>
        <w:spacing w:after="120"/>
      </w:pPr>
      <w:r>
        <w:rPr>
          <w:rFonts w:ascii="Arial" w:hAnsi="Arial"/>
          <w:b w:val="0"/>
          <w:i w:val="0"/>
          <w:color w:val="222222"/>
          <w:sz w:val="22"/>
        </w:rPr>
        <w:t>Risks include dependency on key clients, cash flow fluctuations, limited supply chain redundancy, regulatory exposure, capacity constraints, and reliance on third-party logistics. Mitigation involves vendor diversification, backup suppliers, strict contracts, financial monitoring, safety stock, logistics contingency, and compliance tracking.</w:t>
      </w:r>
    </w:p>
    <w:p>
      <w:pPr>
        <w:spacing w:after="120"/>
      </w:pPr>
    </w:p>
    <w:p>
      <w:pPr>
        <w:spacing w:before="240" w:after="100"/>
        <w:pBdr>
          <w:bottom w:val="single" w:sz="6" w:space="1" w:color="2E4057"/>
        </w:pBdr>
      </w:pPr>
      <w:r>
        <w:rPr>
          <w:rFonts w:ascii="Arial" w:hAnsi="Arial"/>
          <w:b/>
          <w:i w:val="0"/>
          <w:color w:val="2E4057"/>
          <w:sz w:val="26"/>
        </w:rPr>
        <w:t>Overall Vendor Performance Rating</w:t>
      </w:r>
    </w:p>
    <w:p>
      <w:pPr>
        <w:spacing w:after="120"/>
      </w:pPr>
      <w:r>
        <w:rPr>
          <w:rFonts w:ascii="Arial" w:hAnsi="Arial"/>
          <w:b w:val="0"/>
          <w:i w:val="0"/>
          <w:color w:val="222222"/>
          <w:sz w:val="22"/>
        </w:rPr>
        <w:t>The vendor achieved an overall performance rating of 92/100 (Grade A) for the period 01 April 2025 to 31 March 2026. Evaluation criteria included quality, cost competitiveness, delivery, service, compliance, financial stability, scalability, and innovation.</w:t>
      </w:r>
    </w:p>
    <w:p>
      <w:pPr>
        <w:spacing w:after="120"/>
      </w:pPr>
    </w:p>
    <w:p>
      <w:pPr>
        <w:spacing w:before="240" w:after="100"/>
        <w:pBdr>
          <w:bottom w:val="single" w:sz="6" w:space="1" w:color="2E4057"/>
        </w:pBdr>
      </w:pPr>
      <w:r>
        <w:rPr>
          <w:rFonts w:ascii="Arial" w:hAnsi="Arial"/>
          <w:b/>
          <w:i w:val="0"/>
          <w:color w:val="2E4057"/>
          <w:sz w:val="26"/>
        </w:rPr>
        <w:t>Recommendations for Vendor Engagement</w:t>
      </w:r>
    </w:p>
    <w:p>
      <w:pPr>
        <w:spacing w:after="120"/>
      </w:pPr>
      <w:r>
        <w:rPr>
          <w:rFonts w:ascii="Arial" w:hAnsi="Arial"/>
          <w:b w:val="0"/>
          <w:i w:val="0"/>
          <w:color w:val="222222"/>
          <w:sz w:val="22"/>
        </w:rPr>
        <w:t>Engage the vendor through a fixed-term contract with performance benchmarks. Prioritize compliance with data security and service level agreements. Mitigate risks by including termination clauses and periodic review mechanisms aligned with turabit’s strategic technology goals.</w:t>
      </w:r>
    </w:p>
    <w:p>
      <w:pPr>
        <w:spacing w:after="120"/>
      </w:pPr>
    </w:p>
    <w:p>
      <w:pPr>
        <w:spacing w:before="240" w:after="100"/>
        <w:pBdr>
          <w:bottom w:val="single" w:sz="6" w:space="1" w:color="2E4057"/>
        </w:pBdr>
      </w:pPr>
      <w:r>
        <w:rPr>
          <w:rFonts w:ascii="Arial" w:hAnsi="Arial"/>
          <w:b/>
          <w:i w:val="0"/>
          <w:color w:val="2E4057"/>
          <w:sz w:val="26"/>
        </w:rPr>
        <w:t>Management Review and Approval</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Procurement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Compliance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Controller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Legal Advisor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Vendor Evaluation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Vendor Evaluation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