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Requirements Document (PRD)</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Document Information for the Product Requirements Document (PRD) of turabit, a Technology / SaaS company based in India, is detailed below. Version 1.0 of this document was released on 01 April 2026. The primary author and document owner is the Product Manager from the Product Management department.</w:t>
      </w:r>
    </w:p>
    <w:p>
      <w:pPr>
        <w:spacing w:after="80"/>
      </w:pPr>
    </w:p>
    <w:p>
      <w:pPr>
        <w:spacing w:after="80"/>
        <w:ind w:left="360"/>
      </w:pPr>
      <w:r>
        <w:rPr>
          <w:rFonts w:ascii="Arial" w:hAnsi="Arial"/>
          <w:b w:val="0"/>
          <w:i w:val="0"/>
          <w:color w:val="222222"/>
          <w:sz w:val="22"/>
        </w:rPr>
        <w:t>1. Company: turabit</w:t>
      </w:r>
    </w:p>
    <w:p>
      <w:pPr>
        <w:spacing w:after="80"/>
        <w:ind w:left="360"/>
      </w:pPr>
      <w:r>
        <w:rPr>
          <w:rFonts w:ascii="Arial" w:hAnsi="Arial"/>
          <w:b w:val="0"/>
          <w:i w:val="0"/>
          <w:color w:val="222222"/>
          <w:sz w:val="22"/>
        </w:rPr>
        <w:t>2. Department: Product Management</w:t>
      </w:r>
    </w:p>
    <w:p>
      <w:pPr>
        <w:spacing w:after="80"/>
        <w:ind w:left="360"/>
      </w:pPr>
      <w:r>
        <w:rPr>
          <w:rFonts w:ascii="Arial" w:hAnsi="Arial"/>
          <w:b w:val="0"/>
          <w:i w:val="0"/>
          <w:color w:val="222222"/>
          <w:sz w:val="22"/>
        </w:rPr>
        <w:t>3. Industry: Technology / SaaS</w:t>
      </w:r>
    </w:p>
    <w:p>
      <w:pPr>
        <w:spacing w:after="80"/>
        <w:ind w:left="360"/>
      </w:pPr>
      <w:r>
        <w:rPr>
          <w:rFonts w:ascii="Arial" w:hAnsi="Arial"/>
          <w:b w:val="0"/>
          <w:i w:val="0"/>
          <w:color w:val="222222"/>
          <w:sz w:val="22"/>
        </w:rPr>
        <w:t>4. Region: India</w:t>
      </w:r>
    </w:p>
    <w:p>
      <w:pPr>
        <w:spacing w:after="80"/>
        <w:ind w:left="360"/>
      </w:pPr>
      <w:r>
        <w:rPr>
          <w:rFonts w:ascii="Arial" w:hAnsi="Arial"/>
          <w:b w:val="0"/>
          <w:i w:val="0"/>
          <w:color w:val="222222"/>
          <w:sz w:val="22"/>
        </w:rPr>
        <w:t>5. Version: 1.0</w:t>
      </w:r>
    </w:p>
    <w:p>
      <w:pPr>
        <w:spacing w:after="80"/>
        <w:ind w:left="360"/>
      </w:pPr>
      <w:r>
        <w:rPr>
          <w:rFonts w:ascii="Arial" w:hAnsi="Arial"/>
          <w:b w:val="0"/>
          <w:i w:val="0"/>
          <w:color w:val="222222"/>
          <w:sz w:val="22"/>
        </w:rPr>
        <w:t>6. Release Date: 01 April 2026</w:t>
      </w:r>
    </w:p>
    <w:p>
      <w:pPr>
        <w:spacing w:after="80"/>
        <w:ind w:left="360"/>
      </w:pPr>
      <w:r>
        <w:rPr>
          <w:rFonts w:ascii="Arial" w:hAnsi="Arial"/>
          <w:b w:val="0"/>
          <w:i w:val="0"/>
          <w:color w:val="222222"/>
          <w:sz w:val="22"/>
        </w:rPr>
        <w:t>7. Document Owner: Product Manager</w:t>
      </w:r>
    </w:p>
    <w:p>
      <w:pPr>
        <w:spacing w:after="120"/>
      </w:pPr>
    </w:p>
    <w:p>
      <w:pPr>
        <w:spacing w:before="240" w:after="100"/>
        <w:pBdr>
          <w:bottom w:val="single" w:sz="6" w:space="1" w:color="2E4057"/>
        </w:pBdr>
      </w:pPr>
      <w:r>
        <w:rPr>
          <w:rFonts w:ascii="Arial" w:hAnsi="Arial"/>
          <w:b/>
          <w:i w:val="0"/>
          <w:color w:val="2E4057"/>
          <w:sz w:val="26"/>
        </w:rPr>
        <w:t>Product Overview</w:t>
      </w:r>
    </w:p>
    <w:p>
      <w:pPr>
        <w:spacing w:after="120"/>
      </w:pPr>
      <w:r>
        <w:rPr>
          <w:rFonts w:ascii="Arial" w:hAnsi="Arial"/>
          <w:b w:val="0"/>
          <w:i w:val="0"/>
          <w:color w:val="222222"/>
          <w:sz w:val="22"/>
        </w:rPr>
        <w:t>turabit’s AI-Powered Enterprise Document Generation Platform automates HR, compliance, and business documentation workflows, enhancing efficiency and accuracy. Designed for HR managers, operations staff, legal teams, project managers, and SMB business owners, it streamlines document creation and standardization. Key objectives include reducing document creation time by 60%, minimizing compliance risks, and supporting scalable automation. The platform aims to increase user adoption, improve policy alignment, and maintain a customer satisfaction score above 90%, delivering consistent, error-free documentation with minimal manual effort.</w:t>
      </w:r>
    </w:p>
    <w:p>
      <w:pPr>
        <w:spacing w:after="120"/>
      </w:pPr>
    </w:p>
    <w:p>
      <w:pPr>
        <w:spacing w:before="240" w:after="100"/>
        <w:pBdr>
          <w:bottom w:val="single" w:sz="6" w:space="1" w:color="2E4057"/>
        </w:pBdr>
      </w:pPr>
      <w:r>
        <w:rPr>
          <w:rFonts w:ascii="Arial" w:hAnsi="Arial"/>
          <w:b/>
          <w:i w:val="0"/>
          <w:color w:val="2E4057"/>
          <w:sz w:val="26"/>
        </w:rPr>
        <w:t>Business Objectives</w:t>
      </w:r>
    </w:p>
    <w:p>
      <w:pPr>
        <w:spacing w:after="120"/>
      </w:pPr>
      <w:r>
        <w:rPr>
          <w:rFonts w:ascii="Arial" w:hAnsi="Arial"/>
          <w:b w:val="0"/>
          <w:i w:val="0"/>
          <w:color w:val="222222"/>
          <w:sz w:val="22"/>
        </w:rPr>
        <w:t>The product aims to drive widespread adoption across HR, operations, and compliance departments by automating document creation workflows. It seeks to establish itself as the standard documentation tool within enterprises while enhancing capabilities through AI-driven customization and integrations. Key objectives include improving operational efficiency, reducing compliance errors, and expanding the SME client base in India, Southeast Asia, and global English-speaking markets. Success will be measured by document generation time reduction, active user growth, customer satisfaction, error reduction, revenue milestones, and workflow automation implementation.</w:t>
      </w:r>
    </w:p>
    <w:p>
      <w:pPr>
        <w:spacing w:after="120"/>
      </w:pPr>
    </w:p>
    <w:p>
      <w:pPr>
        <w:spacing w:before="240" w:after="100"/>
        <w:pBdr>
          <w:bottom w:val="single" w:sz="6" w:space="1" w:color="2E4057"/>
        </w:pBdr>
      </w:pPr>
      <w:r>
        <w:rPr>
          <w:rFonts w:ascii="Arial" w:hAnsi="Arial"/>
          <w:b/>
          <w:i w:val="0"/>
          <w:color w:val="2E4057"/>
          <w:sz w:val="26"/>
        </w:rPr>
        <w:t>Problem Statement</w:t>
      </w:r>
    </w:p>
    <w:p>
      <w:pPr>
        <w:spacing w:after="120"/>
      </w:pPr>
      <w:r>
        <w:rPr>
          <w:rFonts w:ascii="Arial" w:hAnsi="Arial"/>
          <w:b w:val="0"/>
          <w:i w:val="0"/>
          <w:color w:val="222222"/>
          <w:sz w:val="22"/>
        </w:rPr>
        <w:t>Enterprise teams face time-consuming manual document creation, inconsistent formatting, and fragmented workflows, leading to reduced productivity and increased operational costs. Compliance and legal teams struggle with policy adherence and audit readiness due to limited visibility and version control. Repetitive data entry causes errors and rework, delaying approvals and impacting communication quality. HR, operations, and project managers, along with SME business owners, experience inefficiencies that hinder collaboration and increase risks. Addressing these challenges is critical to streamline processes, ensure compliance, and improve overall document management effectiveness.</w:t>
      </w:r>
    </w:p>
    <w:p>
      <w:pPr>
        <w:spacing w:after="120"/>
      </w:pPr>
    </w:p>
    <w:p>
      <w:pPr>
        <w:spacing w:before="240" w:after="100"/>
        <w:pBdr>
          <w:bottom w:val="single" w:sz="6" w:space="1" w:color="2E4057"/>
        </w:pBdr>
      </w:pPr>
      <w:r>
        <w:rPr>
          <w:rFonts w:ascii="Arial" w:hAnsi="Arial"/>
          <w:b/>
          <w:i w:val="0"/>
          <w:color w:val="2E4057"/>
          <w:sz w:val="26"/>
        </w:rPr>
        <w:t>Target Users and Stakeholders</w:t>
      </w:r>
    </w:p>
    <w:p>
      <w:pPr>
        <w:spacing w:after="120"/>
      </w:pPr>
      <w:r>
        <w:rPr>
          <w:rFonts w:ascii="Arial" w:hAnsi="Arial"/>
          <w:b w:val="0"/>
          <w:i w:val="0"/>
          <w:color w:val="222222"/>
          <w:sz w:val="22"/>
        </w:rPr>
        <w:t>Target users include HR managers, compliance professionals, operations staff, project managers, and SME business owners in technology, HR services, consulting, and corporate sectors. Typical companies range from 50 to 1000 employees, requiring standardized documentation, compliance workflows, and multi-department collaboration.</w:t>
      </w:r>
    </w:p>
    <w:p>
      <w:pPr>
        <w:spacing w:after="80"/>
      </w:pPr>
    </w:p>
    <w:p>
      <w:pPr>
        <w:spacing w:after="120"/>
      </w:pPr>
      <w:r>
        <w:rPr>
          <w:rFonts w:ascii="Arial" w:hAnsi="Arial"/>
          <w:b w:val="0"/>
          <w:i w:val="0"/>
          <w:color w:val="222222"/>
          <w:sz w:val="22"/>
        </w:rPr>
        <w:t>Internal stakeholders involved are product management, engineering, design, quality assurance, sales, marketing, and customer support teams. External stakeholders include enterprise clients, compliance advisors, implementation partners, and third-party technology vendors essential for product development and integration.</w:t>
      </w:r>
    </w:p>
    <w:p>
      <w:pPr>
        <w:spacing w:after="120"/>
      </w:pPr>
    </w:p>
    <w:p>
      <w:pPr>
        <w:spacing w:before="240" w:after="100"/>
        <w:pBdr>
          <w:bottom w:val="single" w:sz="6" w:space="1" w:color="2E4057"/>
        </w:pBdr>
      </w:pPr>
      <w:r>
        <w:rPr>
          <w:rFonts w:ascii="Arial" w:hAnsi="Arial"/>
          <w:b/>
          <w:i w:val="0"/>
          <w:color w:val="2E4057"/>
          <w:sz w:val="26"/>
        </w:rPr>
        <w:t>Product Scope</w:t>
      </w:r>
    </w:p>
    <w:p>
      <w:pPr>
        <w:spacing w:after="120"/>
      </w:pPr>
      <w:r>
        <w:rPr>
          <w:rFonts w:ascii="Arial" w:hAnsi="Arial"/>
          <w:b w:val="0"/>
          <w:i w:val="0"/>
          <w:color w:val="222222"/>
          <w:sz w:val="22"/>
        </w:rPr>
        <w:t>The product scope encompasses AI-powered document generation using structured inputs, predefined enterprise templates, dynamic form-based data entry, workflow automation, role-based access control, version control, third-party integrations, export options, audit trails, and a monitoring dashboard. Target users include HR managers, compliance professionals, operations staff, project managers, and SME business owners. Exclusions include no support for complex legal drafting, limited initial third-party integrations, mandatory online access, absence of advanced AI customization, English-only support, and no complex ERP integrations in the initial release.</w:t>
      </w:r>
    </w:p>
    <w:p>
      <w:pPr>
        <w:spacing w:after="120"/>
      </w:pPr>
    </w:p>
    <w:p>
      <w:pPr>
        <w:spacing w:before="240" w:after="100"/>
        <w:pBdr>
          <w:bottom w:val="single" w:sz="6" w:space="1" w:color="2E4057"/>
        </w:pBdr>
      </w:pPr>
      <w:r>
        <w:rPr>
          <w:rFonts w:ascii="Arial" w:hAnsi="Arial"/>
          <w:b/>
          <w:i w:val="0"/>
          <w:color w:val="2E4057"/>
          <w:sz w:val="26"/>
        </w:rPr>
        <w:t>Key Features Overview</w:t>
      </w:r>
    </w:p>
    <w:p>
      <w:pPr>
        <w:spacing w:after="120"/>
      </w:pPr>
      <w:r>
        <w:rPr>
          <w:rFonts w:ascii="Arial" w:hAnsi="Arial"/>
          <w:b w:val="0"/>
          <w:i w:val="0"/>
          <w:color w:val="222222"/>
          <w:sz w:val="22"/>
        </w:rPr>
        <w:t>The product offers AI-Powered Document Generation that eliminates manual creation efforts and reduces time consumption, enhancing user efficiency. Workflow Automation and Approval Management streamlines multi-step approval processes, minimizing delays in document handling. Compliance and Audit Tracking ensures adherence to policies and regulatory standards, reducing compliance risks. Together, these features address critical business needs by optimizing document workflows, accelerating approvals, and maintaining rigorous compliance, enabling organizations to improve productivity and maintain governance in a competitive technology and SaaS landscape.</w:t>
      </w:r>
    </w:p>
    <w:p>
      <w:pPr>
        <w:spacing w:after="120"/>
      </w:pPr>
    </w:p>
    <w:p>
      <w:pPr>
        <w:spacing w:before="240" w:after="100"/>
        <w:pBdr>
          <w:bottom w:val="single" w:sz="6" w:space="1" w:color="2E4057"/>
        </w:pBdr>
      </w:pPr>
      <w:r>
        <w:rPr>
          <w:rFonts w:ascii="Arial" w:hAnsi="Arial"/>
          <w:b/>
          <w:i w:val="0"/>
          <w:color w:val="2E4057"/>
          <w:sz w:val="26"/>
        </w:rPr>
        <w:t>Detailed Functional Requirements</w:t>
      </w:r>
    </w:p>
    <w:p>
      <w:pPr>
        <w:spacing w:after="120"/>
      </w:pPr>
      <w:r>
        <w:rPr>
          <w:rFonts w:ascii="Arial" w:hAnsi="Arial"/>
          <w:b w:val="0"/>
          <w:i w:val="0"/>
          <w:color w:val="222222"/>
          <w:sz w:val="22"/>
        </w:rPr>
        <w:t>The product must support six user roles with defined permissions: Admin, HR Manager, Compliance Officer, Operations Executive, Project/Product Manager, and Viewer. Key workflows include AI-driven document creation, multi-step review and approval, role-based access, version control, external system integration, compliance validation, and audit logging. Performance requirements mandate support for concurrent multi-department usage, document generation within 2–5 seconds, handling over 10,000 documents monthly, scalable architecture, 99.5% uptime, and secure, low-latency data processing and retrieval.</w:t>
      </w:r>
    </w:p>
    <w:p>
      <w:pPr>
        <w:spacing w:after="120"/>
      </w:pPr>
    </w:p>
    <w:p>
      <w:pPr>
        <w:spacing w:before="240" w:after="100"/>
        <w:pBdr>
          <w:bottom w:val="single" w:sz="6" w:space="1" w:color="2E4057"/>
        </w:pBdr>
      </w:pPr>
      <w:r>
        <w:rPr>
          <w:rFonts w:ascii="Arial" w:hAnsi="Arial"/>
          <w:b/>
          <w:i w:val="0"/>
          <w:color w:val="2E4057"/>
          <w:sz w:val="26"/>
        </w:rPr>
        <w:t>Non-Functional Requirements</w:t>
      </w:r>
    </w:p>
    <w:p>
      <w:pPr>
        <w:spacing w:after="120"/>
      </w:pPr>
      <w:r>
        <w:rPr>
          <w:rFonts w:ascii="Arial" w:hAnsi="Arial"/>
          <w:b w:val="0"/>
          <w:i w:val="0"/>
          <w:color w:val="222222"/>
          <w:sz w:val="22"/>
        </w:rPr>
        <w:t>The product must ensure optimal performance with response times under two seconds for typical loads and maintain stability during peak usage with scalable throughput. Security compliance will align with industry standards such as GDPR and ISO 27001 to protect user data and privacy. Availability targets include 99.9% uptime with maximum allowable downtime of less than 8.76 hours annually. Recovery Time Objective (RTO) is set at 1 hour to minimize disruption. Reliability measures will include regular backups and failover mechanisms to ensure continuous service.</w:t>
      </w:r>
    </w:p>
    <w:p>
      <w:pPr>
        <w:spacing w:after="120"/>
      </w:pPr>
    </w:p>
    <w:p>
      <w:pPr>
        <w:spacing w:before="240" w:after="100"/>
        <w:pBdr>
          <w:bottom w:val="single" w:sz="6" w:space="1" w:color="2E4057"/>
        </w:pBdr>
      </w:pPr>
      <w:r>
        <w:rPr>
          <w:rFonts w:ascii="Arial" w:hAnsi="Arial"/>
          <w:b/>
          <w:i w:val="0"/>
          <w:color w:val="2E4057"/>
          <w:sz w:val="26"/>
        </w:rPr>
        <w:t>User Experience Considerations</w:t>
      </w:r>
    </w:p>
    <w:p>
      <w:pPr>
        <w:spacing w:after="120"/>
      </w:pPr>
      <w:r>
        <w:rPr>
          <w:rFonts w:ascii="Arial" w:hAnsi="Arial"/>
          <w:b w:val="0"/>
          <w:i w:val="0"/>
          <w:color w:val="222222"/>
          <w:sz w:val="22"/>
        </w:rPr>
        <w:t>User experience must focus on intuitive navigation, responsiveness, and minimizing user effort to enhance satisfaction and retention. Key user personas will be identified during discovery to tailor workflows and interfaces aligning with their primary goals. Accessibility compliance will follow recognized standards such as WCAG 2.1 to ensure inclusivity. Success will be measured through metrics including user engagement, task completion rates, error frequency, and Net Promoter Score (NPS). Continuous feedback loops and usability testing will support iterative improvements to optimize overall experience.</w:t>
      </w:r>
    </w:p>
    <w:p>
      <w:pPr>
        <w:spacing w:after="120"/>
      </w:pPr>
    </w:p>
    <w:p>
      <w:pPr>
        <w:spacing w:before="240" w:after="100"/>
        <w:pBdr>
          <w:bottom w:val="single" w:sz="6" w:space="1" w:color="2E4057"/>
        </w:pBdr>
      </w:pPr>
      <w:r>
        <w:rPr>
          <w:rFonts w:ascii="Arial" w:hAnsi="Arial"/>
          <w:b/>
          <w:i w:val="0"/>
          <w:color w:val="2E4057"/>
          <w:sz w:val="26"/>
        </w:rPr>
        <w:t>Dependencies and Assumptions</w:t>
      </w:r>
    </w:p>
    <w:p>
      <w:pPr>
        <w:spacing w:after="120"/>
      </w:pPr>
      <w:r>
        <w:rPr>
          <w:rFonts w:ascii="Arial" w:hAnsi="Arial"/>
          <w:b w:val="0"/>
          <w:i w:val="0"/>
          <w:color w:val="222222"/>
          <w:sz w:val="22"/>
        </w:rPr>
        <w:t>The product development depends on stable integration with third-party APIs and cloud infrastructure services to ensure scalability and reliability. It is assumed that key technical resources, including developers and QA engineers, will be available throughout the project lifecycle. The technology stack will leverage established frameworks and tools familiar to the team to maintain efficiency. Additionally, organizational support for timely decision-making and cross-department collaboration is critical. Any changes in resource allocation or technology platforms may impact the delivery timeline and feature scope.</w:t>
      </w:r>
    </w:p>
    <w:p>
      <w:pPr>
        <w:spacing w:after="120"/>
      </w:pPr>
    </w:p>
    <w:p>
      <w:pPr>
        <w:spacing w:before="240" w:after="100"/>
        <w:pBdr>
          <w:bottom w:val="single" w:sz="6" w:space="1" w:color="2E4057"/>
        </w:pBdr>
      </w:pPr>
      <w:r>
        <w:rPr>
          <w:rFonts w:ascii="Arial" w:hAnsi="Arial"/>
          <w:b/>
          <w:i w:val="0"/>
          <w:color w:val="2E4057"/>
          <w:sz w:val="26"/>
        </w:rPr>
        <w:t>Risks and Constraints</w:t>
      </w:r>
    </w:p>
    <w:p>
      <w:pPr>
        <w:spacing w:after="120"/>
      </w:pPr>
      <w:r>
        <w:rPr>
          <w:rFonts w:ascii="Arial" w:hAnsi="Arial"/>
          <w:b w:val="0"/>
          <w:i w:val="0"/>
          <w:color w:val="222222"/>
          <w:sz w:val="22"/>
        </w:rPr>
        <w:t>Several technical risks may impact development, including integration challenges with existing systems, potential performance bottlenecks, and scalability concerns. Unforeseen bugs or delays in third-party dependencies could also affect timelines.</w:t>
      </w:r>
    </w:p>
    <w:p>
      <w:pPr>
        <w:spacing w:after="80"/>
      </w:pPr>
    </w:p>
    <w:p>
      <w:pPr>
        <w:spacing w:after="120"/>
      </w:pPr>
      <w:r>
        <w:rPr>
          <w:rFonts w:ascii="Arial" w:hAnsi="Arial"/>
          <w:b w:val="0"/>
          <w:i w:val="0"/>
          <w:color w:val="222222"/>
          <w:sz w:val="22"/>
        </w:rPr>
        <w:t>Regulatory and compliance constraints relevant to data privacy, security standards, and local laws in India must be continuously monitored and incorporated.</w:t>
      </w:r>
    </w:p>
    <w:p>
      <w:pPr>
        <w:spacing w:after="80"/>
      </w:pPr>
    </w:p>
    <w:p>
      <w:pPr>
        <w:spacing w:after="120"/>
      </w:pPr>
      <w:r>
        <w:rPr>
          <w:rFonts w:ascii="Arial" w:hAnsi="Arial"/>
          <w:b w:val="0"/>
          <w:i w:val="0"/>
          <w:color w:val="222222"/>
          <w:sz w:val="22"/>
        </w:rPr>
        <w:t>Resource limitations such as constrained budget allocations, availability of skilled personnel, and access to necessary technology platforms could affect the delivery schedule and overall product quality. Contingency planning is essential to mitigate these risks.</w:t>
      </w:r>
    </w:p>
    <w:p>
      <w:pPr>
        <w:spacing w:after="120"/>
      </w:pPr>
    </w:p>
    <w:p>
      <w:pPr>
        <w:spacing w:before="240" w:after="100"/>
        <w:pBdr>
          <w:bottom w:val="single" w:sz="6" w:space="1" w:color="2E4057"/>
        </w:pBdr>
      </w:pPr>
      <w:r>
        <w:rPr>
          <w:rFonts w:ascii="Arial" w:hAnsi="Arial"/>
          <w:b/>
          <w:i w:val="0"/>
          <w:color w:val="2E4057"/>
          <w:sz w:val="26"/>
        </w:rPr>
        <w:t>Success Metrics</w:t>
      </w:r>
    </w:p>
    <w:p>
      <w:pPr>
        <w:spacing w:after="120"/>
      </w:pPr>
      <w:r>
        <w:rPr>
          <w:rFonts w:ascii="Arial" w:hAnsi="Arial"/>
          <w:b w:val="0"/>
          <w:i w:val="0"/>
          <w:color w:val="222222"/>
          <w:sz w:val="22"/>
        </w:rPr>
        <w:t>Success metrics for this product will focus on user adoption rate, customer retention, feature usage frequency, and revenue growth. Target values will be established post-launch, aiming for a 20% increase in monthly active users and a 15% improvement in customer retention within six months. Feature engagement should reach at least 60% of users regularly. Revenue growth targets will align with quarterly business goals. The Product Management team will be responsible for tracking and reporting these metrics using analytics tools and periodic performance reviews to ensure continuous improvement and alignment with company objectives.</w:t>
      </w:r>
    </w:p>
    <w:p>
      <w:pPr>
        <w:spacing w:after="120"/>
      </w:pPr>
    </w:p>
    <w:p>
      <w:pPr>
        <w:spacing w:before="240" w:after="100"/>
        <w:pBdr>
          <w:bottom w:val="single" w:sz="6" w:space="1" w:color="2E4057"/>
        </w:pBdr>
      </w:pPr>
      <w:r>
        <w:rPr>
          <w:rFonts w:ascii="Arial" w:hAnsi="Arial"/>
          <w:b/>
          <w:i w:val="0"/>
          <w:color w:val="2E4057"/>
          <w:sz w:val="26"/>
        </w:rPr>
        <w:t>Approval and Stakeholder Sign-off</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UX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Product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Product Requirements Document (PRD)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