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SLA Agreement</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Agreement Title and Effective Date</w:t>
      </w:r>
    </w:p>
    <w:p>
      <w:pPr>
        <w:spacing w:after="120"/>
      </w:pPr>
      <w:r>
        <w:rPr>
          <w:rFonts w:ascii="Arial" w:hAnsi="Arial"/>
          <w:b w:val="0"/>
          <w:i w:val="0"/>
          <w:color w:val="222222"/>
          <w:sz w:val="22"/>
        </w:rPr>
        <w:t>The Service Level Agreement titled "turabit Customer Support SLA" establishes the terms and conditions governing support services. This Agreement becomes effective on 01 April 2026 and remains in force until terminated according to the provisions herein, ensuring consistent and reliable support for all customers within the India region.</w:t>
      </w:r>
    </w:p>
    <w:p>
      <w:pPr>
        <w:spacing w:after="120"/>
      </w:pPr>
    </w:p>
    <w:p>
      <w:pPr>
        <w:spacing w:before="240" w:after="100"/>
        <w:pBdr>
          <w:bottom w:val="single" w:sz="6" w:space="1" w:color="2E4057"/>
        </w:pBdr>
      </w:pPr>
      <w:r>
        <w:rPr>
          <w:rFonts w:ascii="Arial" w:hAnsi="Arial"/>
          <w:b/>
          <w:i w:val="0"/>
          <w:color w:val="2E4057"/>
          <w:sz w:val="26"/>
        </w:rPr>
        <w:t>Parties to the Agreement</w:t>
      </w:r>
    </w:p>
    <w:p>
      <w:pPr>
        <w:spacing w:after="120"/>
      </w:pPr>
      <w:r>
        <w:rPr>
          <w:rFonts w:ascii="Arial" w:hAnsi="Arial"/>
          <w:b w:val="0"/>
          <w:i w:val="0"/>
          <w:color w:val="222222"/>
          <w:sz w:val="22"/>
        </w:rPr>
        <w:t>This Service Level Agreement is entered into between ABC Technologies Private Limited, located at 402, Infinity Tower, Sector 18, Gurgaon, Haryana, India – 122015, hereinafter referred to as the Customer, and Turabit Technologies Private Limited, located at 5th Floor, Orion Business Park, SG Highway, Ahmedabad, Gujarat, India – 380054, hereinafter referred to as the Service Provider.</w:t>
      </w:r>
    </w:p>
    <w:p>
      <w:pPr>
        <w:spacing w:after="120"/>
      </w:pPr>
    </w:p>
    <w:p>
      <w:pPr>
        <w:spacing w:before="240" w:after="100"/>
        <w:pBdr>
          <w:bottom w:val="single" w:sz="6" w:space="1" w:color="2E4057"/>
        </w:pBdr>
      </w:pPr>
      <w:r>
        <w:rPr>
          <w:rFonts w:ascii="Arial" w:hAnsi="Arial"/>
          <w:b/>
          <w:i w:val="0"/>
          <w:color w:val="2E4057"/>
          <w:sz w:val="26"/>
        </w:rPr>
        <w:t>Purpose of the SLA</w:t>
      </w:r>
    </w:p>
    <w:p>
      <w:pPr>
        <w:spacing w:after="120"/>
      </w:pPr>
      <w:r>
        <w:rPr>
          <w:rFonts w:ascii="Arial" w:hAnsi="Arial"/>
          <w:b w:val="0"/>
          <w:i w:val="0"/>
          <w:color w:val="222222"/>
          <w:sz w:val="22"/>
        </w:rPr>
        <w:t>Turabit’s SLA ensures 24/7 customer support with defined response and resolution times based on issue severity. It guarantees system uptime, incident tracking, escalation protocols, and data security compliance. The SLA aims to maintain service quality, maximize customer satisfaction, ensure reliability, and establish clear performance accountability and benchmarks.</w:t>
      </w:r>
    </w:p>
    <w:p>
      <w:pPr>
        <w:spacing w:after="120"/>
      </w:pPr>
    </w:p>
    <w:p>
      <w:pPr>
        <w:spacing w:before="240" w:after="100"/>
        <w:pBdr>
          <w:bottom w:val="single" w:sz="6" w:space="1" w:color="2E4057"/>
        </w:pBdr>
      </w:pPr>
      <w:r>
        <w:rPr>
          <w:rFonts w:ascii="Arial" w:hAnsi="Arial"/>
          <w:b/>
          <w:i w:val="0"/>
          <w:color w:val="2E4057"/>
          <w:sz w:val="26"/>
        </w:rPr>
        <w:t>Scope of Services Covered</w:t>
      </w:r>
    </w:p>
    <w:p>
      <w:pPr>
        <w:spacing w:after="120"/>
      </w:pPr>
      <w:r>
        <w:rPr>
          <w:rFonts w:ascii="Arial" w:hAnsi="Arial"/>
          <w:b w:val="0"/>
          <w:i w:val="0"/>
          <w:color w:val="222222"/>
          <w:sz w:val="22"/>
        </w:rPr>
        <w:t>The SLA covers 1. incident management and resolution, 2. technical platform assistance, 3. account access support, 4. service request handling, 5. ticket tracking and updates, 6. escalation management, 7. system performance monitoring, and 8. maintenance notifications. Exclusions include third-party integrations, customer misconfigurations, scheduled maintenance, force majeure, and custom development.</w:t>
      </w:r>
    </w:p>
    <w:p>
      <w:pPr>
        <w:spacing w:after="120"/>
      </w:pPr>
    </w:p>
    <w:p>
      <w:pPr>
        <w:spacing w:before="240" w:after="100"/>
        <w:pBdr>
          <w:bottom w:val="single" w:sz="6" w:space="1" w:color="2E4057"/>
        </w:pBdr>
      </w:pPr>
      <w:r>
        <w:rPr>
          <w:rFonts w:ascii="Arial" w:hAnsi="Arial"/>
          <w:b/>
          <w:i w:val="0"/>
          <w:color w:val="2E4057"/>
          <w:sz w:val="26"/>
        </w:rPr>
        <w:t>Service Availability Commitment</w:t>
      </w:r>
    </w:p>
    <w:p>
      <w:pPr>
        <w:spacing w:after="120"/>
      </w:pPr>
      <w:r>
        <w:rPr>
          <w:rFonts w:ascii="Arial" w:hAnsi="Arial"/>
          <w:b w:val="0"/>
          <w:i w:val="0"/>
          <w:color w:val="222222"/>
          <w:sz w:val="22"/>
        </w:rPr>
        <w:t>turabit guarantees 99.9% monthly service uptime, available 24/7 excluding scheduled maintenance with prior notice.</w:t>
      </w:r>
    </w:p>
    <w:p>
      <w:pPr>
        <w:spacing w:after="80"/>
      </w:pPr>
    </w:p>
    <w:p>
      <w:pPr>
        <w:spacing w:after="120"/>
      </w:pPr>
      <w:r>
        <w:rPr>
          <w:rFonts w:ascii="Arial" w:hAnsi="Arial"/>
          <w:b w:val="0"/>
          <w:i w:val="0"/>
          <w:color w:val="222222"/>
          <w:sz w:val="22"/>
        </w:rPr>
        <w:t>If availability falls short, turabit offers 1. Service credits based on downtime 2. Prioritized support and escalation 3. Detailed incident reports 4. Corrective actions to prevent recurrence.</w:t>
      </w:r>
    </w:p>
    <w:p>
      <w:pPr>
        <w:spacing w:after="120"/>
      </w:pPr>
    </w:p>
    <w:p>
      <w:pPr>
        <w:spacing w:before="240" w:after="100"/>
        <w:pBdr>
          <w:bottom w:val="single" w:sz="6" w:space="1" w:color="2E4057"/>
        </w:pBdr>
      </w:pPr>
      <w:r>
        <w:rPr>
          <w:rFonts w:ascii="Arial" w:hAnsi="Arial"/>
          <w:b/>
          <w:i w:val="0"/>
          <w:color w:val="2E4057"/>
          <w:sz w:val="26"/>
        </w:rPr>
        <w:t>Response Time Standards</w:t>
      </w:r>
    </w:p>
    <w:p>
      <w:pPr>
        <w:spacing w:after="120"/>
      </w:pPr>
      <w:r>
        <w:rPr>
          <w:rFonts w:ascii="Arial" w:hAnsi="Arial"/>
          <w:b w:val="0"/>
          <w:i w:val="0"/>
          <w:color w:val="222222"/>
          <w:sz w:val="22"/>
        </w:rPr>
        <w:t>turabit guarantees response times based on priority: Critical within 30 minutes, High within 1 hour, Medium within 4 hours, Low within 8 hours, and Informational within 24 hours. The IT Compliance Officer and Customer Support Manager jointly monitor and report compliance to ensure timely support delivery and customer satisfaction.</w:t>
      </w:r>
    </w:p>
    <w:p>
      <w:pPr>
        <w:spacing w:after="120"/>
      </w:pPr>
    </w:p>
    <w:p>
      <w:pPr>
        <w:spacing w:before="240" w:after="100"/>
        <w:pBdr>
          <w:bottom w:val="single" w:sz="6" w:space="1" w:color="2E4057"/>
        </w:pBdr>
      </w:pPr>
      <w:r>
        <w:rPr>
          <w:rFonts w:ascii="Arial" w:hAnsi="Arial"/>
          <w:b/>
          <w:i w:val="0"/>
          <w:color w:val="2E4057"/>
          <w:sz w:val="26"/>
        </w:rPr>
        <w:t>Resolution Time Commitments</w:t>
      </w:r>
    </w:p>
    <w:p>
      <w:pPr>
        <w:spacing w:after="120"/>
      </w:pPr>
      <w:r>
        <w:rPr>
          <w:rFonts w:ascii="Arial" w:hAnsi="Arial"/>
          <w:b w:val="0"/>
          <w:i w:val="0"/>
          <w:color w:val="222222"/>
          <w:sz w:val="22"/>
        </w:rPr>
        <w:t>Resolution time commitments are as follows: Critical issues resolved within 4 hours, High within 12 hours, Medium within 24 hours, and Low within 48 hours. Resolution times may be extended due to third-party dependencies, complex investigations, customer unavailability, scheduled maintenance, or unforeseen force majeure events beyond control.</w:t>
      </w:r>
    </w:p>
    <w:p>
      <w:pPr>
        <w:spacing w:after="120"/>
      </w:pPr>
    </w:p>
    <w:p>
      <w:pPr>
        <w:spacing w:before="240" w:after="100"/>
        <w:pBdr>
          <w:bottom w:val="single" w:sz="6" w:space="1" w:color="2E4057"/>
        </w:pBdr>
      </w:pPr>
      <w:r>
        <w:rPr>
          <w:rFonts w:ascii="Arial" w:hAnsi="Arial"/>
          <w:b/>
          <w:i w:val="0"/>
          <w:color w:val="2E4057"/>
          <w:sz w:val="26"/>
        </w:rPr>
        <w:t>Service Performance Metrics</w:t>
      </w:r>
    </w:p>
    <w:p>
      <w:pPr>
        <w:spacing w:after="120"/>
      </w:pPr>
      <w:r>
        <w:rPr>
          <w:rFonts w:ascii="Arial" w:hAnsi="Arial"/>
          <w:b w:val="0"/>
          <w:i w:val="0"/>
          <w:color w:val="222222"/>
          <w:sz w:val="22"/>
        </w:rPr>
        <w:t>turabit commits to 99.9% uptime, prompt first response and resolution times by priority, ≥95% ticket resolution rate, and ≥90% CSAT. Metrics are tracked via automated tools, surveys, and audits. Monthly reports are provided. Failure to meet targets results in corrective actions, service credits, or escalations per agreement terms.</w:t>
      </w:r>
    </w:p>
    <w:p>
      <w:pPr>
        <w:spacing w:after="120"/>
      </w:pPr>
    </w:p>
    <w:p>
      <w:pPr>
        <w:spacing w:before="240" w:after="100"/>
        <w:pBdr>
          <w:bottom w:val="single" w:sz="6" w:space="1" w:color="2E4057"/>
        </w:pBdr>
      </w:pPr>
      <w:r>
        <w:rPr>
          <w:rFonts w:ascii="Arial" w:hAnsi="Arial"/>
          <w:b/>
          <w:i w:val="0"/>
          <w:color w:val="2E4057"/>
          <w:sz w:val="26"/>
        </w:rPr>
        <w:t>Customer Responsibilities</w:t>
      </w:r>
    </w:p>
    <w:p>
      <w:pPr>
        <w:spacing w:after="120"/>
      </w:pPr>
      <w:r>
        <w:rPr>
          <w:rFonts w:ascii="Arial" w:hAnsi="Arial"/>
          <w:b w:val="0"/>
          <w:i w:val="0"/>
          <w:color w:val="222222"/>
          <w:sz w:val="22"/>
        </w:rPr>
        <w:t>Customers must provide accurate information and use authorized channels for support requests. They should maintain account security, follow platform guidelines, and avoid unauthorized changes. Cooperation with support, including timely responses, is required. Support requests must follow the escalation matrix, using official channels until resolution is achieved.</w:t>
      </w:r>
    </w:p>
    <w:p>
      <w:pPr>
        <w:spacing w:after="120"/>
      </w:pPr>
    </w:p>
    <w:p>
      <w:pPr>
        <w:spacing w:before="240" w:after="100"/>
        <w:pBdr>
          <w:bottom w:val="single" w:sz="6" w:space="1" w:color="2E4057"/>
        </w:pBdr>
      </w:pPr>
      <w:r>
        <w:rPr>
          <w:rFonts w:ascii="Arial" w:hAnsi="Arial"/>
          <w:b/>
          <w:i w:val="0"/>
          <w:color w:val="2E4057"/>
          <w:sz w:val="26"/>
        </w:rPr>
        <w:t>Service Provider Responsibilities</w:t>
      </w:r>
    </w:p>
    <w:p>
      <w:pPr>
        <w:spacing w:after="120"/>
      </w:pPr>
      <w:r>
        <w:rPr>
          <w:rFonts w:ascii="Arial" w:hAnsi="Arial"/>
          <w:b w:val="0"/>
          <w:i w:val="0"/>
          <w:color w:val="222222"/>
          <w:sz w:val="22"/>
        </w:rPr>
        <w:t>turabit commits to 99.9% uptime and prompt response and resolution times based on priority levels. Customer Support Manager and IT Compliance Officer oversee performance. Issues are logged immediately, investigated within one hour, escalated as needed, and communicated regularly. Root cause analysis and corrective actions follow any SLA breaches.</w:t>
      </w:r>
    </w:p>
    <w:p>
      <w:pPr>
        <w:spacing w:after="120"/>
      </w:pPr>
    </w:p>
    <w:p>
      <w:pPr>
        <w:spacing w:before="240" w:after="100"/>
        <w:pBdr>
          <w:bottom w:val="single" w:sz="6" w:space="1" w:color="2E4057"/>
        </w:pBdr>
      </w:pPr>
      <w:r>
        <w:rPr>
          <w:rFonts w:ascii="Arial" w:hAnsi="Arial"/>
          <w:b/>
          <w:i w:val="0"/>
          <w:color w:val="2E4057"/>
          <w:sz w:val="26"/>
        </w:rPr>
        <w:t>Escalation Procedures</w:t>
      </w:r>
    </w:p>
    <w:p>
      <w:pPr>
        <w:spacing w:after="120"/>
      </w:pPr>
      <w:r>
        <w:rPr>
          <w:rFonts w:ascii="Arial" w:hAnsi="Arial"/>
          <w:b w:val="0"/>
          <w:i w:val="0"/>
          <w:color w:val="222222"/>
          <w:sz w:val="22"/>
        </w:rPr>
        <w:t>turabit Customer Support follows escalation levels with defined response times: Level 1 within 30 minutes, Level 2 within 1 hour, Level 3 within 2 hours, Level 4 within 4 hours, and Level 5 within 8 hours. The Escalation Manager oversees all escalated issues.</w:t>
      </w:r>
    </w:p>
    <w:p>
      <w:pPr>
        <w:spacing w:after="120"/>
      </w:pPr>
    </w:p>
    <w:p>
      <w:pPr>
        <w:spacing w:before="240" w:after="100"/>
        <w:pBdr>
          <w:bottom w:val="single" w:sz="6" w:space="1" w:color="2E4057"/>
        </w:pBdr>
      </w:pPr>
      <w:r>
        <w:rPr>
          <w:rFonts w:ascii="Arial" w:hAnsi="Arial"/>
          <w:b/>
          <w:i w:val="0"/>
          <w:color w:val="2E4057"/>
          <w:sz w:val="26"/>
        </w:rPr>
        <w:t>Service Credits or Penalties</w:t>
      </w:r>
    </w:p>
    <w:p>
      <w:pPr>
        <w:spacing w:after="120"/>
      </w:pPr>
      <w:r>
        <w:rPr>
          <w:rFonts w:ascii="Arial" w:hAnsi="Arial"/>
          <w:b w:val="0"/>
          <w:i w:val="0"/>
          <w:color w:val="222222"/>
          <w:sz w:val="22"/>
        </w:rPr>
        <w:t>Service credits or penalties apply when monthly uptime falls below 99.9%, response or resolution times for priority incidents are missed, repeated SLA breaches occur, or significant disruptions affect multiple customers. Credits are calculated by measuring the deviation from targets, applying a percentage of the monthly fee, and capping total credits per billing cycle.</w:t>
      </w:r>
    </w:p>
    <w:p>
      <w:pPr>
        <w:spacing w:after="120"/>
      </w:pPr>
    </w:p>
    <w:p>
      <w:pPr>
        <w:spacing w:before="240" w:after="100"/>
        <w:pBdr>
          <w:bottom w:val="single" w:sz="6" w:space="1" w:color="2E4057"/>
        </w:pBdr>
      </w:pPr>
      <w:r>
        <w:rPr>
          <w:rFonts w:ascii="Arial" w:hAnsi="Arial"/>
          <w:b/>
          <w:i w:val="0"/>
          <w:color w:val="2E4057"/>
          <w:sz w:val="26"/>
        </w:rPr>
        <w:t>Monitoring and Reporting</w:t>
      </w:r>
    </w:p>
    <w:p>
      <w:pPr>
        <w:spacing w:after="120"/>
      </w:pPr>
      <w:r>
        <w:rPr>
          <w:rFonts w:ascii="Arial" w:hAnsi="Arial"/>
          <w:b w:val="0"/>
          <w:i w:val="0"/>
          <w:color w:val="222222"/>
          <w:sz w:val="22"/>
        </w:rPr>
        <w:t>turabit monitors 1. service uptime, 2. first response and resolution times by priority, 3. ticket resolution rate, 4. SLA breaches, 5. escalation metrics, 6. CSAT, 7. NPS, 8. incident volume and severity, and 9. system performance. Monitoring reports are generated monthly, with weekly internal updates and immediate critical incident reporting.</w:t>
      </w:r>
    </w:p>
    <w:p>
      <w:pPr>
        <w:spacing w:after="120"/>
      </w:pPr>
    </w:p>
    <w:p>
      <w:pPr>
        <w:spacing w:before="240" w:after="100"/>
        <w:pBdr>
          <w:bottom w:val="single" w:sz="6" w:space="1" w:color="2E4057"/>
        </w:pBdr>
      </w:pPr>
      <w:r>
        <w:rPr>
          <w:rFonts w:ascii="Arial" w:hAnsi="Arial"/>
          <w:b/>
          <w:i w:val="0"/>
          <w:color w:val="2E4057"/>
          <w:sz w:val="26"/>
        </w:rPr>
        <w:t>Agreement Review and Renewal Terms</w:t>
      </w:r>
    </w:p>
    <w:p>
      <w:pPr>
        <w:spacing w:after="120"/>
      </w:pPr>
      <w:r>
        <w:rPr>
          <w:rFonts w:ascii="Arial" w:hAnsi="Arial"/>
          <w:b w:val="0"/>
          <w:i w:val="0"/>
          <w:color w:val="222222"/>
          <w:sz w:val="22"/>
        </w:rPr>
        <w:t>The SLA agreement is effective for 12 months from the effective date. The Customer Support Manager, in coordination with the Reporting Manager, is responsible for conducting the review and approving renewal. Reviews ensure service standards align with business needs before any renewal is finalized.</w:t>
      </w:r>
    </w:p>
    <w:p>
      <w:pPr>
        <w:spacing w:after="120"/>
      </w:pPr>
    </w:p>
    <w:p>
      <w:pPr>
        <w:spacing w:before="240" w:after="100"/>
        <w:pBdr>
          <w:bottom w:val="single" w:sz="6" w:space="1" w:color="2E4057"/>
        </w:pBdr>
      </w:pPr>
      <w:r>
        <w:rPr>
          <w:rFonts w:ascii="Arial" w:hAnsi="Arial"/>
          <w:b/>
          <w:i w:val="0"/>
          <w:color w:val="2E4057"/>
          <w:sz w:val="26"/>
        </w:rPr>
        <w:t>Termination Conditions</w:t>
      </w:r>
    </w:p>
    <w:p>
      <w:pPr>
        <w:spacing w:after="120"/>
      </w:pPr>
      <w:r>
        <w:rPr>
          <w:rFonts w:ascii="Arial" w:hAnsi="Arial"/>
          <w:b w:val="0"/>
          <w:i w:val="0"/>
          <w:color w:val="222222"/>
          <w:sz w:val="22"/>
        </w:rPr>
        <w:t>Termination may occur due to material breach, repeated performance failures, non-payment, mutual agreement, insolvency, or force majeure.</w:t>
      </w:r>
    </w:p>
    <w:p>
      <w:pPr>
        <w:spacing w:after="80"/>
      </w:pPr>
    </w:p>
    <w:p>
      <w:pPr>
        <w:spacing w:after="120"/>
      </w:pPr>
      <w:r>
        <w:rPr>
          <w:rFonts w:ascii="Arial" w:hAnsi="Arial"/>
          <w:b w:val="0"/>
          <w:i w:val="0"/>
          <w:color w:val="222222"/>
          <w:sz w:val="22"/>
        </w:rPr>
        <w:t>A 30-day written notice via registered email or formal communication to authorized representatives is required.</w:t>
      </w:r>
    </w:p>
    <w:p>
      <w:pPr>
        <w:spacing w:after="80"/>
      </w:pPr>
    </w:p>
    <w:p>
      <w:pPr>
        <w:spacing w:after="120"/>
      </w:pPr>
      <w:r>
        <w:rPr>
          <w:rFonts w:ascii="Arial" w:hAnsi="Arial"/>
          <w:b w:val="0"/>
          <w:i w:val="0"/>
          <w:color w:val="222222"/>
          <w:sz w:val="22"/>
        </w:rPr>
        <w:t>Obligations include settling dues, prorated charges, data return/deletion, no penalties for provider breach, and possible early termination fees.</w:t>
      </w:r>
    </w:p>
    <w:p>
      <w:pPr>
        <w:spacing w:after="120"/>
      </w:pPr>
    </w:p>
    <w:p>
      <w:pPr>
        <w:spacing w:before="240" w:after="100"/>
        <w:pBdr>
          <w:bottom w:val="single" w:sz="6" w:space="1" w:color="2E4057"/>
        </w:pBdr>
      </w:pPr>
      <w:r>
        <w:rPr>
          <w:rFonts w:ascii="Arial" w:hAnsi="Arial"/>
          <w:b/>
          <w:i w:val="0"/>
          <w:color w:val="2E4057"/>
          <w:sz w:val="26"/>
        </w:rPr>
        <w:t>Signatures of Both Parties</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Support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Service Delivery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Counsel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Operations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SLA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SLA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