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pPr>
      <w:r>
        <w:rPr>
          <w:rFonts w:ascii="Arial" w:hAnsi="Arial"/>
          <w:b/>
          <w:i w:val="0"/>
          <w:color w:val="2E4057"/>
          <w:sz w:val="44"/>
        </w:rPr>
        <w:t>Support Training Manual</w:t>
      </w:r>
    </w:p>
    <w:p>
      <w:pPr>
        <w:spacing w:after="120"/>
      </w:pPr>
      <w:r>
        <w:rPr>
          <w:rFonts w:ascii="Arial" w:hAnsi="Arial"/>
          <w:b w:val="0"/>
          <w:i w:val="0"/>
          <w:color w:val="888888"/>
          <w:sz w:val="20"/>
        </w:rPr>
        <w:t>turabit  ·  Customer Support  ·  Technology / SaaS  ·  India</w:t>
      </w:r>
    </w:p>
    <w:p>
      <w:pPr>
        <w:spacing w:after="320"/>
        <w:pBdr>
          <w:bottom w:val="single" w:sz="6" w:space="1" w:color="2E4057"/>
        </w:pBdr>
      </w:pPr>
    </w:p>
    <w:p>
      <w:pPr>
        <w:spacing w:before="240" w:after="100"/>
        <w:pBdr>
          <w:bottom w:val="single" w:sz="6" w:space="1" w:color="2E4057"/>
        </w:pBdr>
      </w:pPr>
      <w:r>
        <w:rPr>
          <w:rFonts w:ascii="Arial" w:hAnsi="Arial"/>
          <w:b/>
          <w:i w:val="0"/>
          <w:color w:val="2E4057"/>
          <w:sz w:val="26"/>
        </w:rPr>
        <w:t>Document Information</w:t>
      </w:r>
    </w:p>
    <w:p>
      <w:pPr>
        <w:spacing w:after="120"/>
      </w:pPr>
      <w:r>
        <w:rPr>
          <w:rFonts w:ascii="Arial" w:hAnsi="Arial"/>
          <w:b w:val="0"/>
          <w:i w:val="0"/>
          <w:color w:val="222222"/>
          <w:sz w:val="22"/>
        </w:rPr>
        <w:t>Company: turabit</w:t>
      </w:r>
    </w:p>
    <w:p>
      <w:pPr>
        <w:spacing w:after="120"/>
      </w:pPr>
      <w:r>
        <w:rPr>
          <w:rFonts w:ascii="Arial" w:hAnsi="Arial"/>
          <w:b w:val="0"/>
          <w:i w:val="0"/>
          <w:color w:val="222222"/>
          <w:sz w:val="22"/>
        </w:rPr>
        <w:t>Department: Customer Support</w:t>
      </w:r>
    </w:p>
    <w:p>
      <w:pPr>
        <w:spacing w:after="120"/>
      </w:pPr>
      <w:r>
        <w:rPr>
          <w:rFonts w:ascii="Arial" w:hAnsi="Arial"/>
          <w:b w:val="0"/>
          <w:i w:val="0"/>
          <w:color w:val="222222"/>
          <w:sz w:val="22"/>
        </w:rPr>
        <w:t>Industry: Technology / SaaS</w:t>
      </w:r>
    </w:p>
    <w:p>
      <w:pPr>
        <w:spacing w:after="120"/>
      </w:pPr>
      <w:r>
        <w:rPr>
          <w:rFonts w:ascii="Arial" w:hAnsi="Arial"/>
          <w:b w:val="0"/>
          <w:i w:val="0"/>
          <w:color w:val="222222"/>
          <w:sz w:val="22"/>
        </w:rPr>
        <w:t>Region: India</w:t>
      </w:r>
    </w:p>
    <w:p>
      <w:pPr>
        <w:spacing w:after="80"/>
      </w:pPr>
    </w:p>
    <w:p>
      <w:pPr>
        <w:spacing w:after="120"/>
      </w:pPr>
      <w:r>
        <w:rPr>
          <w:rFonts w:ascii="Arial" w:hAnsi="Arial"/>
          <w:b w:val="0"/>
          <w:i w:val="0"/>
          <w:color w:val="222222"/>
          <w:sz w:val="22"/>
        </w:rPr>
        <w:t>Effective Date: 01 April 2026</w:t>
      </w:r>
    </w:p>
    <w:p>
      <w:pPr>
        <w:spacing w:after="120"/>
      </w:pPr>
      <w:r>
        <w:rPr>
          <w:rFonts w:ascii="Arial" w:hAnsi="Arial"/>
          <w:b w:val="0"/>
          <w:i w:val="0"/>
          <w:color w:val="222222"/>
          <w:sz w:val="22"/>
        </w:rPr>
        <w:t>Document Owner: Customer Support Manager</w:t>
      </w:r>
    </w:p>
    <w:p>
      <w:pPr>
        <w:spacing w:after="120"/>
      </w:pPr>
      <w:r>
        <w:rPr>
          <w:rFonts w:ascii="Arial" w:hAnsi="Arial"/>
          <w:b w:val="0"/>
          <w:i w:val="0"/>
          <w:color w:val="222222"/>
          <w:sz w:val="22"/>
        </w:rPr>
        <w:t>Review Cycle: Annually</w:t>
      </w:r>
    </w:p>
    <w:p>
      <w:pPr>
        <w:spacing w:after="120"/>
      </w:pPr>
      <w:r>
        <w:rPr>
          <w:rFonts w:ascii="Arial" w:hAnsi="Arial"/>
          <w:b w:val="0"/>
          <w:i w:val="0"/>
          <w:color w:val="222222"/>
          <w:sz w:val="22"/>
        </w:rPr>
        <w:t>Version: 1.0</w:t>
      </w:r>
    </w:p>
    <w:p>
      <w:pPr>
        <w:spacing w:after="120"/>
      </w:pPr>
      <w:r>
        <w:rPr>
          <w:rFonts w:ascii="Arial" w:hAnsi="Arial"/>
          <w:b w:val="0"/>
          <w:i w:val="0"/>
          <w:color w:val="222222"/>
          <w:sz w:val="22"/>
        </w:rPr>
        <w:t>Confidentiality: Internal Use Only</w:t>
      </w:r>
    </w:p>
    <w:p>
      <w:pPr>
        <w:spacing w:after="80"/>
      </w:pPr>
    </w:p>
    <w:p>
      <w:pPr>
        <w:spacing w:after="120"/>
      </w:pPr>
      <w:r>
        <w:rPr>
          <w:rFonts w:ascii="Arial" w:hAnsi="Arial"/>
          <w:b w:val="0"/>
          <w:i w:val="0"/>
          <w:color w:val="222222"/>
          <w:sz w:val="22"/>
        </w:rPr>
        <w:t>For questions regarding this manual, contact the Customer Support Manager.</w:t>
      </w:r>
    </w:p>
    <w:p>
      <w:pPr>
        <w:spacing w:after="120"/>
      </w:pPr>
    </w:p>
    <w:p>
      <w:pPr>
        <w:spacing w:before="240" w:after="100"/>
        <w:pBdr>
          <w:bottom w:val="single" w:sz="6" w:space="1" w:color="2E4057"/>
        </w:pBdr>
      </w:pPr>
      <w:r>
        <w:rPr>
          <w:rFonts w:ascii="Arial" w:hAnsi="Arial"/>
          <w:b/>
          <w:i w:val="0"/>
          <w:color w:val="2E4057"/>
          <w:sz w:val="26"/>
        </w:rPr>
        <w:t>Purpose of the Training Manual</w:t>
      </w:r>
    </w:p>
    <w:p>
      <w:pPr>
        <w:spacing w:after="120"/>
      </w:pPr>
      <w:r>
        <w:rPr>
          <w:rFonts w:ascii="Arial" w:hAnsi="Arial"/>
          <w:b w:val="0"/>
          <w:i w:val="0"/>
          <w:color w:val="222222"/>
          <w:sz w:val="22"/>
        </w:rPr>
        <w:t>The training manual aims to develop a deep understanding of turabit’s platform features and standardized troubleshooting procedures. It enhances communication skills, ensures adherence to SLAs, and improves proficiency in support tools and ticketing systems. Additionally, it strengthens knowledge of data security and compliance. The manual serves new hires, experienced agents, and team leads to maintain consistent, high-quality customer support.</w:t>
      </w:r>
    </w:p>
    <w:p>
      <w:pPr>
        <w:spacing w:after="120"/>
      </w:pPr>
    </w:p>
    <w:p>
      <w:pPr>
        <w:spacing w:before="240" w:after="100"/>
        <w:pBdr>
          <w:bottom w:val="single" w:sz="6" w:space="1" w:color="2E4057"/>
        </w:pBdr>
      </w:pPr>
      <w:r>
        <w:rPr>
          <w:rFonts w:ascii="Arial" w:hAnsi="Arial"/>
          <w:b/>
          <w:i w:val="0"/>
          <w:color w:val="2E4057"/>
          <w:sz w:val="26"/>
        </w:rPr>
        <w:t>Overview of Customer Support Operations</w:t>
      </w:r>
    </w:p>
    <w:p>
      <w:pPr>
        <w:spacing w:after="120"/>
      </w:pPr>
      <w:r>
        <w:rPr>
          <w:rFonts w:ascii="Arial" w:hAnsi="Arial"/>
          <w:b w:val="0"/>
          <w:i w:val="0"/>
          <w:color w:val="222222"/>
          <w:sz w:val="22"/>
        </w:rPr>
        <w:t>turabit’s Customer Support operates primarily through email (40%), live chat (30%), ticketing system (20%), phone (10%), and self-service Help Center (15%). The department includes the Customer Support Manager, Team Lead, Senior and Executive Support staff, Technical Specialists, IT Compliance Officer, and Quality Assurance Analyst. Together, they ensure efficient issue resolution, compliance adherence, and high-quality customer experiences across all channels.</w:t>
      </w:r>
    </w:p>
    <w:p>
      <w:pPr>
        <w:spacing w:after="120"/>
      </w:pPr>
    </w:p>
    <w:p>
      <w:pPr>
        <w:spacing w:before="240" w:after="100"/>
        <w:pBdr>
          <w:bottom w:val="single" w:sz="6" w:space="1" w:color="2E4057"/>
        </w:pBdr>
      </w:pPr>
      <w:r>
        <w:rPr>
          <w:rFonts w:ascii="Arial" w:hAnsi="Arial"/>
          <w:b/>
          <w:i w:val="0"/>
          <w:color w:val="2E4057"/>
          <w:sz w:val="26"/>
        </w:rPr>
        <w:t>Roles and Responsibilities of Support Staff</w:t>
      </w:r>
    </w:p>
    <w:p>
      <w:pPr>
        <w:spacing w:after="120"/>
      </w:pPr>
      <w:r>
        <w:rPr>
          <w:rFonts w:ascii="Arial" w:hAnsi="Arial"/>
          <w:b w:val="0"/>
          <w:i w:val="0"/>
          <w:color w:val="222222"/>
          <w:sz w:val="22"/>
        </w:rPr>
        <w:t>The Customer Support department is accountable for ensuring timely, accurate, and compliant resolution of customer issues while maintaining high-quality communication and continuous improvement.</w:t>
      </w:r>
    </w:p>
    <w:p>
      <w:pPr>
        <w:spacing w:after="80"/>
      </w:pPr>
    </w:p>
    <w:tbl>
      <w:tblPr>
        <w:tblW w:type="auto" w:w="0"/>
        <w:jc w:val="left"/>
        <w:tblLook w:firstColumn="1" w:firstRow="1" w:lastColumn="0" w:lastRow="0" w:noHBand="0" w:noVBand="1" w:val="04A0"/>
      </w:tblPr>
      <w:tblGrid>
        <w:gridCol w:w="936"/>
        <w:gridCol w:w="936"/>
        <w:gridCol w:w="936"/>
        <w:gridCol w:w="936"/>
        <w:gridCol w:w="936"/>
        <w:gridCol w:w="936"/>
        <w:gridCol w:w="936"/>
        <w:gridCol w:w="936"/>
        <w:gridCol w:w="936"/>
        <w:gridCol w:w="936"/>
      </w:tblGrid>
      <w:tr>
        <w:tc>
          <w:tcPr>
            <w:tcW w:type="dxa" w:w="936"/>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Activity</w:t>
            </w:r>
          </w:p>
        </w:tc>
        <w:tc>
          <w:tcPr>
            <w:tcW w:type="dxa" w:w="936"/>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Customer Support Executive</w:t>
            </w:r>
          </w:p>
        </w:tc>
        <w:tc>
          <w:tcPr>
            <w:tcW w:type="dxa" w:w="936"/>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Senior Support Executive</w:t>
            </w:r>
          </w:p>
        </w:tc>
        <w:tc>
          <w:tcPr>
            <w:tcW w:type="dxa" w:w="936"/>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Technical Support Specialist</w:t>
            </w:r>
          </w:p>
        </w:tc>
        <w:tc>
          <w:tcPr>
            <w:tcW w:type="dxa" w:w="936"/>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Team Lead – Customer Support</w:t>
            </w:r>
          </w:p>
        </w:tc>
        <w:tc>
          <w:tcPr>
            <w:tcW w:type="dxa" w:w="936"/>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Customer Support Manager</w:t>
            </w:r>
          </w:p>
        </w:tc>
        <w:tc>
          <w:tcPr>
            <w:tcW w:type="dxa" w:w="936"/>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IT Compliance Officer</w:t>
            </w:r>
          </w:p>
        </w:tc>
        <w:tc>
          <w:tcPr>
            <w:tcW w:type="dxa" w:w="936"/>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Quality Assurance Analyst</w:t>
            </w:r>
          </w:p>
        </w:tc>
        <w:tc>
          <w:tcPr>
            <w:tcW w:type="dxa" w:w="936"/>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Product/Engineering Team</w:t>
            </w:r>
          </w:p>
        </w:tc>
        <w:tc>
          <w:tcPr>
            <w:tcW w:type="dxa" w:w="936"/>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Customer Success Manager</w:t>
            </w:r>
          </w:p>
        </w:tc>
      </w:tr>
      <w:tr>
        <w:tc>
          <w:tcPr>
            <w:tcW w:type="dxa" w:w="93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Ticket intake and categorization</w:t>
            </w:r>
          </w:p>
        </w:tc>
        <w:tc>
          <w:tcPr>
            <w:tcW w:type="dxa" w:w="93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R</w:t>
            </w:r>
          </w:p>
        </w:tc>
        <w:tc>
          <w:tcPr>
            <w:tcW w:type="dxa" w:w="93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A</w:t>
            </w:r>
          </w:p>
        </w:tc>
        <w:tc>
          <w:tcPr>
            <w:tcW w:type="dxa" w:w="93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93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C</w:t>
            </w:r>
          </w:p>
        </w:tc>
        <w:tc>
          <w:tcPr>
            <w:tcW w:type="dxa" w:w="93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93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93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93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93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r>
      <w:tr>
        <w:tc>
          <w:tcPr>
            <w:tcW w:type="dxa" w:w="936"/>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Initial customer response and query acknowledgment</w:t>
            </w:r>
          </w:p>
        </w:tc>
        <w:tc>
          <w:tcPr>
            <w:tcW w:type="dxa" w:w="936"/>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R</w:t>
            </w:r>
          </w:p>
        </w:tc>
        <w:tc>
          <w:tcPr>
            <w:tcW w:type="dxa" w:w="936"/>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A</w:t>
            </w:r>
          </w:p>
        </w:tc>
        <w:tc>
          <w:tcPr>
            <w:tcW w:type="dxa" w:w="936"/>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936"/>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C</w:t>
            </w:r>
          </w:p>
        </w:tc>
        <w:tc>
          <w:tcPr>
            <w:tcW w:type="dxa" w:w="936"/>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936"/>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936"/>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936"/>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936"/>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r>
      <w:tr>
        <w:tc>
          <w:tcPr>
            <w:tcW w:type="dxa" w:w="93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Issue troubleshooting and resolution</w:t>
            </w:r>
          </w:p>
        </w:tc>
        <w:tc>
          <w:tcPr>
            <w:tcW w:type="dxa" w:w="93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93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C</w:t>
            </w:r>
          </w:p>
        </w:tc>
        <w:tc>
          <w:tcPr>
            <w:tcW w:type="dxa" w:w="93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R</w:t>
            </w:r>
          </w:p>
        </w:tc>
        <w:tc>
          <w:tcPr>
            <w:tcW w:type="dxa" w:w="93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A</w:t>
            </w:r>
          </w:p>
        </w:tc>
        <w:tc>
          <w:tcPr>
            <w:tcW w:type="dxa" w:w="93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93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93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93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C</w:t>
            </w:r>
          </w:p>
        </w:tc>
        <w:tc>
          <w:tcPr>
            <w:tcW w:type="dxa" w:w="93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r>
      <w:tr>
        <w:tc>
          <w:tcPr>
            <w:tcW w:type="dxa" w:w="936"/>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Escalation of complex or unresolved issues</w:t>
            </w:r>
          </w:p>
        </w:tc>
        <w:tc>
          <w:tcPr>
            <w:tcW w:type="dxa" w:w="936"/>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936"/>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R</w:t>
            </w:r>
          </w:p>
        </w:tc>
        <w:tc>
          <w:tcPr>
            <w:tcW w:type="dxa" w:w="936"/>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C</w:t>
            </w:r>
          </w:p>
        </w:tc>
        <w:tc>
          <w:tcPr>
            <w:tcW w:type="dxa" w:w="936"/>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A</w:t>
            </w:r>
          </w:p>
        </w:tc>
        <w:tc>
          <w:tcPr>
            <w:tcW w:type="dxa" w:w="936"/>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936"/>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936"/>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936"/>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936"/>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r>
      <w:tr>
        <w:tc>
          <w:tcPr>
            <w:tcW w:type="dxa" w:w="93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Technical investigation and bug fixing</w:t>
            </w:r>
          </w:p>
        </w:tc>
        <w:tc>
          <w:tcPr>
            <w:tcW w:type="dxa" w:w="93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93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93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R</w:t>
            </w:r>
          </w:p>
        </w:tc>
        <w:tc>
          <w:tcPr>
            <w:tcW w:type="dxa" w:w="93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93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93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93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93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A</w:t>
            </w:r>
          </w:p>
        </w:tc>
        <w:tc>
          <w:tcPr>
            <w:tcW w:type="dxa" w:w="93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r>
      <w:tr>
        <w:tc>
          <w:tcPr>
            <w:tcW w:type="dxa" w:w="936"/>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Monitoring and adherence to SLAs</w:t>
            </w:r>
          </w:p>
        </w:tc>
        <w:tc>
          <w:tcPr>
            <w:tcW w:type="dxa" w:w="936"/>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936"/>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936"/>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936"/>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R</w:t>
            </w:r>
          </w:p>
        </w:tc>
        <w:tc>
          <w:tcPr>
            <w:tcW w:type="dxa" w:w="936"/>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A</w:t>
            </w:r>
          </w:p>
        </w:tc>
        <w:tc>
          <w:tcPr>
            <w:tcW w:type="dxa" w:w="936"/>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936"/>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C</w:t>
            </w:r>
          </w:p>
        </w:tc>
        <w:tc>
          <w:tcPr>
            <w:tcW w:type="dxa" w:w="936"/>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936"/>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r>
      <w:tr>
        <w:tc>
          <w:tcPr>
            <w:tcW w:type="dxa" w:w="93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Quality assurance and response review</w:t>
            </w:r>
          </w:p>
        </w:tc>
        <w:tc>
          <w:tcPr>
            <w:tcW w:type="dxa" w:w="93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93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93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93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93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93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93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A</w:t>
            </w:r>
          </w:p>
        </w:tc>
        <w:tc>
          <w:tcPr>
            <w:tcW w:type="dxa" w:w="93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93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r>
      <w:tr>
        <w:tc>
          <w:tcPr>
            <w:tcW w:type="dxa" w:w="936"/>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Customer communication and follow-ups</w:t>
            </w:r>
          </w:p>
        </w:tc>
        <w:tc>
          <w:tcPr>
            <w:tcW w:type="dxa" w:w="936"/>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R</w:t>
            </w:r>
          </w:p>
        </w:tc>
        <w:tc>
          <w:tcPr>
            <w:tcW w:type="dxa" w:w="936"/>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A</w:t>
            </w:r>
          </w:p>
        </w:tc>
        <w:tc>
          <w:tcPr>
            <w:tcW w:type="dxa" w:w="936"/>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936"/>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C</w:t>
            </w:r>
          </w:p>
        </w:tc>
        <w:tc>
          <w:tcPr>
            <w:tcW w:type="dxa" w:w="936"/>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936"/>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936"/>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936"/>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936"/>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r>
      <w:tr>
        <w:tc>
          <w:tcPr>
            <w:tcW w:type="dxa" w:w="93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Documentation of issues and knowledge base updates</w:t>
            </w:r>
          </w:p>
        </w:tc>
        <w:tc>
          <w:tcPr>
            <w:tcW w:type="dxa" w:w="93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R</w:t>
            </w:r>
          </w:p>
        </w:tc>
        <w:tc>
          <w:tcPr>
            <w:tcW w:type="dxa" w:w="93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C</w:t>
            </w:r>
          </w:p>
        </w:tc>
        <w:tc>
          <w:tcPr>
            <w:tcW w:type="dxa" w:w="93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93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A</w:t>
            </w:r>
          </w:p>
        </w:tc>
        <w:tc>
          <w:tcPr>
            <w:tcW w:type="dxa" w:w="93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93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93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93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93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r>
      <w:tr>
        <w:tc>
          <w:tcPr>
            <w:tcW w:type="dxa" w:w="936"/>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Compliance and data security verification</w:t>
            </w:r>
          </w:p>
        </w:tc>
        <w:tc>
          <w:tcPr>
            <w:tcW w:type="dxa" w:w="936"/>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936"/>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936"/>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936"/>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936"/>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936"/>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A</w:t>
            </w:r>
          </w:p>
        </w:tc>
        <w:tc>
          <w:tcPr>
            <w:tcW w:type="dxa" w:w="936"/>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936"/>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936"/>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r>
    </w:tbl>
    <w:p>
      <w:pPr>
        <w:spacing w:after="120"/>
      </w:pPr>
    </w:p>
    <w:p>
      <w:pPr>
        <w:spacing w:after="80"/>
      </w:pPr>
    </w:p>
    <w:p>
      <w:pPr>
        <w:spacing w:after="120"/>
      </w:pPr>
      <w:r>
        <w:rPr>
          <w:rFonts w:ascii="Arial" w:hAnsi="Arial"/>
          <w:b w:val="0"/>
          <w:i w:val="0"/>
          <w:color w:val="222222"/>
          <w:sz w:val="22"/>
        </w:rPr>
        <w:t>RACI KEY (add this after the table):</w:t>
      </w:r>
    </w:p>
    <w:tbl>
      <w:tblPr>
        <w:tblW w:type="auto" w:w="0"/>
        <w:jc w:val="left"/>
        <w:tblLook w:firstColumn="1" w:firstRow="1" w:lastColumn="0" w:lastRow="0" w:noHBand="0" w:noVBand="1" w:val="04A0"/>
      </w:tblPr>
      <w:tblGrid>
        <w:gridCol w:w="2340"/>
        <w:gridCol w:w="2340"/>
        <w:gridCol w:w="2340"/>
        <w:gridCol w:w="2340"/>
      </w:tblGrid>
      <w:tr>
        <w:tc>
          <w:tcPr>
            <w:tcW w:type="dxa" w:w="234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R = Responsible</w:t>
            </w:r>
          </w:p>
        </w:tc>
        <w:tc>
          <w:tcPr>
            <w:tcW w:type="dxa" w:w="234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A = Accountable</w:t>
            </w:r>
          </w:p>
        </w:tc>
        <w:tc>
          <w:tcPr>
            <w:tcW w:type="dxa" w:w="234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C = Consulted</w:t>
            </w:r>
          </w:p>
        </w:tc>
        <w:tc>
          <w:tcPr>
            <w:tcW w:type="dxa" w:w="234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I = Informed</w:t>
            </w:r>
          </w:p>
        </w:tc>
      </w:tr>
    </w:tbl>
    <w:p>
      <w:pPr>
        <w:spacing w:after="120"/>
      </w:pPr>
    </w:p>
    <w:p>
      <w:pPr>
        <w:spacing w:after="120"/>
      </w:pPr>
    </w:p>
    <w:p>
      <w:pPr>
        <w:spacing w:before="240" w:after="100"/>
        <w:pBdr>
          <w:bottom w:val="single" w:sz="6" w:space="1" w:color="2E4057"/>
        </w:pBdr>
      </w:pPr>
      <w:r>
        <w:rPr>
          <w:rFonts w:ascii="Arial" w:hAnsi="Arial"/>
          <w:b/>
          <w:i w:val="0"/>
          <w:color w:val="2E4057"/>
          <w:sz w:val="26"/>
        </w:rPr>
        <w:t>Customer Service Standards</w:t>
      </w:r>
    </w:p>
    <w:p>
      <w:pPr>
        <w:spacing w:after="120"/>
      </w:pPr>
      <w:r>
        <w:rPr>
          <w:rFonts w:ascii="Arial" w:hAnsi="Arial"/>
          <w:b w:val="0"/>
          <w:i w:val="0"/>
          <w:color w:val="222222"/>
          <w:sz w:val="22"/>
        </w:rPr>
        <w:t>Customer support agents must respond within 2 business hours and resolve standard issues within 24 hours. Maintain a customer satisfaction score of at least 90% and resolve 95% of tickets within SLA. Escalations should not exceed 5%. Follow procedures for complaint handling, ensure clear communication, document all actions, and confirm resolution. The Customer Support Manager owns policy updates and compliance.</w:t>
      </w:r>
    </w:p>
    <w:p>
      <w:pPr>
        <w:spacing w:after="120"/>
      </w:pPr>
    </w:p>
    <w:p>
      <w:pPr>
        <w:spacing w:before="240" w:after="100"/>
        <w:pBdr>
          <w:bottom w:val="single" w:sz="6" w:space="1" w:color="2E4057"/>
        </w:pBdr>
      </w:pPr>
      <w:r>
        <w:rPr>
          <w:rFonts w:ascii="Arial" w:hAnsi="Arial"/>
          <w:b/>
          <w:i w:val="0"/>
          <w:color w:val="2E4057"/>
          <w:sz w:val="26"/>
        </w:rPr>
        <w:t>Communication Best Practices</w:t>
      </w:r>
    </w:p>
    <w:p>
      <w:pPr>
        <w:spacing w:after="120"/>
      </w:pPr>
      <w:r>
        <w:rPr>
          <w:rFonts w:ascii="Arial" w:hAnsi="Arial"/>
          <w:b w:val="0"/>
          <w:i w:val="0"/>
          <w:color w:val="222222"/>
          <w:sz w:val="22"/>
        </w:rPr>
        <w:t>Maintain a professional, courteous, and empathetic tone at all times. Acknowledge queries promptly within SLA timelines and restate customer issues clearly before offering solutions. Use simple language, avoid jargon, and follow approved response templates. Document all communication accurately in the ticketing system. Ensure transparency, escalate appropriately, and adhere to data privacy policies to deliver consistent, high-quality customer support.</w:t>
      </w:r>
    </w:p>
    <w:p>
      <w:pPr>
        <w:spacing w:after="120"/>
      </w:pPr>
    </w:p>
    <w:p>
      <w:pPr>
        <w:spacing w:before="240" w:after="100"/>
        <w:pBdr>
          <w:bottom w:val="single" w:sz="6" w:space="1" w:color="2E4057"/>
        </w:pBdr>
      </w:pPr>
      <w:r>
        <w:rPr>
          <w:rFonts w:ascii="Arial" w:hAnsi="Arial"/>
          <w:b/>
          <w:i w:val="0"/>
          <w:color w:val="2E4057"/>
          <w:sz w:val="26"/>
        </w:rPr>
        <w:t>Support Tools and Systems Overview</w:t>
      </w:r>
    </w:p>
    <w:p>
      <w:pPr>
        <w:spacing w:after="120"/>
      </w:pPr>
      <w:r>
        <w:rPr>
          <w:rFonts w:ascii="Arial" w:hAnsi="Arial"/>
          <w:b w:val="0"/>
          <w:i w:val="0"/>
          <w:color w:val="222222"/>
          <w:sz w:val="22"/>
        </w:rPr>
        <w:t>The Customer Support team at turabit utilizes the following tools and systems: 1. Ticketing System (e.g., Zendesk or equivalent) 2. Live Chat Platform within the SaaS application 3. Email Support Management System 4. Knowledge Base and Help Center platform 5. CRM for customer data management 6. Workflow automation tools 7. Internal communication tools 8.</w:t>
      </w:r>
    </w:p>
    <w:p>
      <w:pPr>
        <w:spacing w:after="120"/>
      </w:pPr>
    </w:p>
    <w:p>
      <w:pPr>
        <w:spacing w:before="240" w:after="100"/>
        <w:pBdr>
          <w:bottom w:val="single" w:sz="6" w:space="1" w:color="2E4057"/>
        </w:pBdr>
      </w:pPr>
      <w:r>
        <w:rPr>
          <w:rFonts w:ascii="Arial" w:hAnsi="Arial"/>
          <w:b/>
          <w:i w:val="0"/>
          <w:color w:val="2E4057"/>
          <w:sz w:val="26"/>
        </w:rPr>
        <w:t>Ticket Handling Procedures</w:t>
      </w:r>
    </w:p>
    <w:p>
      <w:pPr>
        <w:spacing w:after="80"/>
        <w:ind w:left="360"/>
      </w:pPr>
      <w:r>
        <w:rPr>
          <w:rFonts w:ascii="Arial" w:hAnsi="Arial"/>
          <w:b w:val="0"/>
          <w:i w:val="0"/>
          <w:color w:val="222222"/>
          <w:sz w:val="22"/>
        </w:rPr>
        <w:t>1. Receive and log tickets promptly in the system. 2. Acknowledge within SLA timelines based on priority. 3. Verify customer details and issue description. 4. Categorize and prioritize tickets: Critical, High, Medium, Low, Informational. 5. Perform initial troubleshooting using knowledge base. 6. Communicate updates and request info if needed. 7. Resolve or escalate unresolved tickets to Technical Support or Engineering. 8.</w:t>
      </w:r>
    </w:p>
    <w:p>
      <w:pPr>
        <w:spacing w:after="120"/>
      </w:pPr>
    </w:p>
    <w:p>
      <w:pPr>
        <w:spacing w:before="240" w:after="100"/>
        <w:pBdr>
          <w:bottom w:val="single" w:sz="6" w:space="1" w:color="2E4057"/>
        </w:pBdr>
      </w:pPr>
      <w:r>
        <w:rPr>
          <w:rFonts w:ascii="Arial" w:hAnsi="Arial"/>
          <w:b/>
          <w:i w:val="0"/>
          <w:color w:val="2E4057"/>
          <w:sz w:val="26"/>
        </w:rPr>
        <w:t>Issue Diagnosis Guidelines</w:t>
      </w:r>
    </w:p>
    <w:p>
      <w:pPr>
        <w:spacing w:after="80"/>
        <w:ind w:left="360"/>
      </w:pPr>
      <w:r>
        <w:rPr>
          <w:rFonts w:ascii="Arial" w:hAnsi="Arial"/>
          <w:b w:val="0"/>
          <w:i w:val="0"/>
          <w:color w:val="222222"/>
          <w:sz w:val="22"/>
        </w:rPr>
        <w:t>1. Review ticket details and understand the issue 2. Verify customer account and system access 3. Reproduce the issue using steps or data 4. Check logs and error messages 5. Validate configurations and integrations 6. Identify issue type: user, system, or integration 7. Apply troubleshooting or known fixes 8. Test and confirm resolution 9.</w:t>
      </w:r>
    </w:p>
    <w:p>
      <w:pPr>
        <w:spacing w:after="120"/>
      </w:pPr>
    </w:p>
    <w:p>
      <w:pPr>
        <w:spacing w:before="240" w:after="100"/>
        <w:pBdr>
          <w:bottom w:val="single" w:sz="6" w:space="1" w:color="2E4057"/>
        </w:pBdr>
      </w:pPr>
      <w:r>
        <w:rPr>
          <w:rFonts w:ascii="Arial" w:hAnsi="Arial"/>
          <w:b/>
          <w:i w:val="0"/>
          <w:color w:val="2E4057"/>
          <w:sz w:val="26"/>
        </w:rPr>
        <w:t>Escalation Procedures</w:t>
      </w:r>
    </w:p>
    <w:p>
      <w:pPr>
        <w:spacing w:after="120"/>
      </w:pPr>
      <w:r>
        <w:rPr>
          <w:rFonts w:ascii="Arial" w:hAnsi="Arial"/>
          <w:b w:val="0"/>
          <w:i w:val="0"/>
          <w:color w:val="222222"/>
          <w:sz w:val="22"/>
        </w:rPr>
        <w:t>Escalate issues when unresolved within defined timeframes, involve high-impact customers, or present security or compliance risks.</w:t>
      </w:r>
    </w:p>
    <w:p>
      <w:pPr>
        <w:spacing w:after="80"/>
      </w:pPr>
    </w:p>
    <w:p>
      <w:pPr>
        <w:spacing w:after="80"/>
        <w:ind w:left="360"/>
      </w:pPr>
      <w:r>
        <w:rPr>
          <w:rFonts w:ascii="Arial" w:hAnsi="Arial"/>
          <w:b w:val="0"/>
          <w:i w:val="0"/>
          <w:color w:val="222222"/>
          <w:sz w:val="22"/>
        </w:rPr>
        <w:t>1. Tier 2 Support Team: technical experts, reachable via support@turabit.com</w:t>
      </w:r>
    </w:p>
    <w:p>
      <w:pPr>
        <w:spacing w:after="80"/>
        <w:ind w:left="360"/>
      </w:pPr>
      <w:r>
        <w:rPr>
          <w:rFonts w:ascii="Arial" w:hAnsi="Arial"/>
          <w:b w:val="0"/>
          <w:i w:val="0"/>
          <w:color w:val="222222"/>
          <w:sz w:val="22"/>
        </w:rPr>
        <w:t>2. Customer Success Manager: handles critical accounts, contact csmanager@turabit.com</w:t>
      </w:r>
    </w:p>
    <w:p>
      <w:pPr>
        <w:spacing w:after="80"/>
        <w:ind w:left="360"/>
      </w:pPr>
      <w:r>
        <w:rPr>
          <w:rFonts w:ascii="Arial" w:hAnsi="Arial"/>
          <w:b w:val="0"/>
          <w:i w:val="0"/>
          <w:color w:val="222222"/>
          <w:sz w:val="22"/>
        </w:rPr>
        <w:t>3. Engineering Team: for product defects, escalate through internal ticketing system.</w:t>
      </w:r>
    </w:p>
    <w:p>
      <w:pPr>
        <w:spacing w:after="80"/>
      </w:pPr>
    </w:p>
    <w:p>
      <w:pPr>
        <w:spacing w:after="120"/>
      </w:pPr>
      <w:r>
        <w:rPr>
          <w:rFonts w:ascii="Arial" w:hAnsi="Arial"/>
          <w:b w:val="0"/>
          <w:i w:val="0"/>
          <w:color w:val="222222"/>
          <w:sz w:val="22"/>
        </w:rPr>
        <w:t>Follow escalation protocols promptly to ensure timely resolution and customer satisfaction.</w:t>
      </w:r>
    </w:p>
    <w:p>
      <w:pPr>
        <w:spacing w:after="120"/>
      </w:pPr>
    </w:p>
    <w:p>
      <w:pPr>
        <w:spacing w:before="240" w:after="100"/>
        <w:pBdr>
          <w:bottom w:val="single" w:sz="6" w:space="1" w:color="2E4057"/>
        </w:pBdr>
      </w:pPr>
      <w:r>
        <w:rPr>
          <w:rFonts w:ascii="Arial" w:hAnsi="Arial"/>
          <w:b/>
          <w:i w:val="0"/>
          <w:color w:val="2E4057"/>
          <w:sz w:val="26"/>
        </w:rPr>
        <w:t>Handling Difficult Customer Situations</w:t>
      </w:r>
    </w:p>
    <w:p>
      <w:pPr>
        <w:spacing w:after="120"/>
      </w:pPr>
      <w:r>
        <w:rPr>
          <w:rFonts w:ascii="Arial" w:hAnsi="Arial"/>
          <w:b w:val="0"/>
          <w:i w:val="0"/>
          <w:color w:val="222222"/>
          <w:sz w:val="22"/>
        </w:rPr>
        <w:t>Handling difficult customer situations requires patience, active listening, and empathy. Agents should remain calm, acknowledge concerns, and offer clear, concise solutions. Follow escalation procedures promptly when issues exceed authority or complexity. Use predefined response templates to maintain consistency. Performance metrics include customer satisfaction scores, resolution time, and escalation rates. Continuous training and feedback ensure improved handling of challenging interactions, enhancing customer trust and loyalty.</w:t>
      </w:r>
    </w:p>
    <w:p>
      <w:pPr>
        <w:spacing w:after="120"/>
      </w:pPr>
    </w:p>
    <w:p>
      <w:pPr>
        <w:spacing w:before="240" w:after="100"/>
        <w:pBdr>
          <w:bottom w:val="single" w:sz="6" w:space="1" w:color="2E4057"/>
        </w:pBdr>
      </w:pPr>
      <w:r>
        <w:rPr>
          <w:rFonts w:ascii="Arial" w:hAnsi="Arial"/>
          <w:b/>
          <w:i w:val="0"/>
          <w:color w:val="2E4057"/>
          <w:sz w:val="26"/>
        </w:rPr>
        <w:t>Service Quality Standards</w:t>
      </w:r>
    </w:p>
    <w:p>
      <w:pPr>
        <w:spacing w:after="120"/>
      </w:pPr>
      <w:r>
        <w:rPr>
          <w:rFonts w:ascii="Arial" w:hAnsi="Arial"/>
          <w:b w:val="0"/>
          <w:i w:val="0"/>
          <w:color w:val="222222"/>
          <w:sz w:val="22"/>
        </w:rPr>
        <w:t>Customer support agents at turabit must meet the following service quality standards: 1. First Response Time within 2 business hours 2. Average Resolution Time within 24 hours for standard issues 3. Customer Satisfaction Score of 90% or higher 4. First Contact Resolution rate of at least 80% 5. SLA Compliance Rate at or above 98% 6.</w:t>
      </w:r>
    </w:p>
    <w:p>
      <w:pPr>
        <w:spacing w:after="120"/>
      </w:pPr>
    </w:p>
    <w:p>
      <w:pPr>
        <w:spacing w:before="240" w:after="100"/>
        <w:pBdr>
          <w:bottom w:val="single" w:sz="6" w:space="1" w:color="2E4057"/>
        </w:pBdr>
      </w:pPr>
      <w:r>
        <w:rPr>
          <w:rFonts w:ascii="Arial" w:hAnsi="Arial"/>
          <w:b/>
          <w:i w:val="0"/>
          <w:color w:val="2E4057"/>
          <w:sz w:val="26"/>
        </w:rPr>
        <w:t>Performance Evaluation Criteria</w:t>
      </w:r>
    </w:p>
    <w:p>
      <w:pPr>
        <w:spacing w:after="120"/>
      </w:pPr>
      <w:r>
        <w:rPr>
          <w:rFonts w:ascii="Arial" w:hAnsi="Arial"/>
          <w:b w:val="0"/>
          <w:i w:val="0"/>
          <w:color w:val="222222"/>
          <w:sz w:val="22"/>
        </w:rPr>
        <w:t>Performance evaluation at turabit’s Customer Support is conducted quarterly, focusing on key metrics such as response time, resolution rate, customer satisfaction scores, and adherence to protocols. Evaluations use a standardized rating scale from 1 to 5. Scores below 3 trigger additional training, while ratings above 4 may lead to recognition or rewards. Continuous feedback ensures consistent performance improvement and service quality.</w:t>
      </w:r>
    </w:p>
    <w:p>
      <w:pPr>
        <w:spacing w:after="120"/>
      </w:pPr>
    </w:p>
    <w:p>
      <w:pPr>
        <w:spacing w:before="240" w:after="100"/>
        <w:pBdr>
          <w:bottom w:val="single" w:sz="6" w:space="1" w:color="2E4057"/>
        </w:pBdr>
      </w:pPr>
      <w:r>
        <w:rPr>
          <w:rFonts w:ascii="Arial" w:hAnsi="Arial"/>
          <w:b/>
          <w:i w:val="0"/>
          <w:color w:val="2E4057"/>
          <w:sz w:val="26"/>
        </w:rPr>
        <w:t>Continuous Training and Development</w:t>
      </w:r>
    </w:p>
    <w:p>
      <w:pPr>
        <w:spacing w:after="120"/>
      </w:pPr>
      <w:r>
        <w:rPr>
          <w:rFonts w:ascii="Arial" w:hAnsi="Arial"/>
          <w:b w:val="0"/>
          <w:i w:val="0"/>
          <w:color w:val="222222"/>
          <w:sz w:val="22"/>
        </w:rPr>
        <w:t>Continuous training at turabit includes modules on product knowledge, communication skills, and troubleshooting, conducted quarterly. Additional sessions on emerging technologies and customer interaction techniques occur biannually. The Customer Support Training Manager oversees and updates the program, ensuring alignment with company goals and industry standards. Regular assessments and feedback loops support personalized development plans to maintain high service quality and team competency.</w:t>
      </w:r>
    </w:p>
    <w:p>
      <w:pPr>
        <w:spacing w:after="400"/>
      </w:pPr>
    </w:p>
    <w:p>
      <w:pPr>
        <w:jc w:val="center"/>
      </w:pPr>
      <w:r>
        <w:rPr>
          <w:rFonts w:ascii="Arial" w:hAnsi="Arial"/>
          <w:b w:val="0"/>
          <w:i w:val="0"/>
          <w:color w:val="888888"/>
          <w:sz w:val="16"/>
        </w:rPr>
        <w:t>Support Training Manual  ·  Generated by DocForge AI  ·  Confidential</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888888"/>
        <w:sz w:val="16"/>
      </w:rPr>
      <w:t xml:space="preserve">Page </w:t>
    </w:r>
    <w:r>
      <w:rPr>
        <w:rFonts w:ascii="Arial" w:hAnsi="Arial"/>
        <w:color w:val="888888"/>
        <w:sz w:val="16"/>
      </w:rPr>
      <w:fldChar w:fldCharType="begin"/>
    </w:r>
    <w:r>
      <w:rPr>
        <w:rFonts w:ascii="Arial" w:hAnsi="Arial"/>
        <w:color w:val="888888"/>
        <w:sz w:val="16"/>
      </w:rPr>
      <w:instrText xml:space="preserve"> PAGE </w:instrText>
    </w:r>
    <w:r>
      <w:rPr>
        <w:rFonts w:ascii="Arial" w:hAnsi="Arial"/>
        <w:color w:val="888888"/>
        <w:sz w:val="16"/>
      </w:rPr>
      <w:fldChar w:fldCharType="end"/>
    </w:r>
    <w:r>
      <w:rPr>
        <w:rFonts w:ascii="Arial" w:hAnsi="Arial"/>
        <w:color w:val="888888"/>
        <w:sz w:val="16"/>
      </w:rPr>
      <w:t xml:space="preserve"> of </w:t>
    </w:r>
    <w:r>
      <w:rPr>
        <w:rFonts w:ascii="Arial" w:hAnsi="Arial"/>
        <w:color w:val="888888"/>
        <w:sz w:val="16"/>
      </w:rPr>
      <w:fldChar w:fldCharType="begin"/>
    </w:r>
    <w:r>
      <w:rPr>
        <w:rFonts w:ascii="Arial" w:hAnsi="Arial"/>
        <w:color w:val="888888"/>
        <w:sz w:val="16"/>
      </w:rPr>
      <w:instrText xml:space="preserve"> NUMPAGES </w:instrText>
    </w:r>
    <w:r>
      <w:rPr>
        <w:rFonts w:ascii="Arial" w:hAnsi="Arial"/>
        <w:color w:val="888888"/>
        <w:sz w:val="16"/>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val="0"/>
        <w:i w:val="0"/>
        <w:color w:val="888888"/>
        <w:sz w:val="16"/>
      </w:rPr>
      <w:t>turabit  |  Support Training Manual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