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Production Plan</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Operations</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Version: 1.0</w:t>
      </w:r>
    </w:p>
    <w:p>
      <w:pPr>
        <w:spacing w:after="120"/>
      </w:pPr>
      <w:r>
        <w:rPr>
          <w:rFonts w:ascii="Arial" w:hAnsi="Arial"/>
          <w:b w:val="0"/>
          <w:i w:val="0"/>
          <w:color w:val="222222"/>
          <w:sz w:val="22"/>
        </w:rPr>
        <w:t>Author: Operations Planning Team</w:t>
      </w:r>
    </w:p>
    <w:p>
      <w:pPr>
        <w:spacing w:after="120"/>
      </w:pPr>
      <w:r>
        <w:rPr>
          <w:rFonts w:ascii="Arial" w:hAnsi="Arial"/>
          <w:b w:val="0"/>
          <w:i w:val="0"/>
          <w:color w:val="222222"/>
          <w:sz w:val="22"/>
        </w:rPr>
        <w:t>Approved By: Operations Manager</w:t>
      </w:r>
    </w:p>
    <w:p>
      <w:pPr>
        <w:spacing w:after="120"/>
      </w:pPr>
      <w:r>
        <w:rPr>
          <w:rFonts w:ascii="Arial" w:hAnsi="Arial"/>
          <w:b w:val="0"/>
          <w:i w:val="0"/>
          <w:color w:val="222222"/>
          <w:sz w:val="22"/>
        </w:rPr>
        <w:t>Review Cycle: Annual</w:t>
      </w:r>
    </w:p>
    <w:p>
      <w:pPr>
        <w:spacing w:after="120"/>
      </w:pPr>
      <w:r>
        <w:rPr>
          <w:rFonts w:ascii="Arial" w:hAnsi="Arial"/>
          <w:b w:val="0"/>
          <w:i w:val="0"/>
          <w:color w:val="222222"/>
          <w:sz w:val="22"/>
        </w:rPr>
        <w:t>Confidentiality Level: Internal Use Only</w:t>
      </w:r>
    </w:p>
    <w:p>
      <w:pPr>
        <w:spacing w:after="120"/>
      </w:pPr>
    </w:p>
    <w:p>
      <w:pPr>
        <w:spacing w:before="240" w:after="100"/>
        <w:pBdr>
          <w:bottom w:val="single" w:sz="6" w:space="1" w:color="2E4057"/>
        </w:pBdr>
      </w:pPr>
      <w:r>
        <w:rPr>
          <w:rFonts w:ascii="Arial" w:hAnsi="Arial"/>
          <w:b/>
          <w:i w:val="0"/>
          <w:color w:val="2E4057"/>
          <w:sz w:val="26"/>
        </w:rPr>
        <w:t>Production Overview</w:t>
      </w:r>
    </w:p>
    <w:p>
      <w:pPr>
        <w:spacing w:after="120"/>
      </w:pPr>
      <w:r>
        <w:rPr>
          <w:rFonts w:ascii="Arial" w:hAnsi="Arial"/>
          <w:b w:val="0"/>
          <w:i w:val="0"/>
          <w:color w:val="222222"/>
          <w:sz w:val="22"/>
        </w:rPr>
        <w:t>Production targets include achieving 5,000 units monthly, maintaining 92 percent efficiency, and reducing downtime below 3 percent. Phase 1 ramp-up completes by April 15, 2026, with full capacity by May 1. Mid-cycle review is scheduled for May 20, 2026.</w:t>
      </w:r>
    </w:p>
    <w:p>
      <w:pPr>
        <w:spacing w:after="120"/>
      </w:pPr>
    </w:p>
    <w:p>
      <w:pPr>
        <w:spacing w:before="240" w:after="100"/>
        <w:pBdr>
          <w:bottom w:val="single" w:sz="6" w:space="1" w:color="2E4057"/>
        </w:pBdr>
      </w:pPr>
      <w:r>
        <w:rPr>
          <w:rFonts w:ascii="Arial" w:hAnsi="Arial"/>
          <w:b/>
          <w:i w:val="0"/>
          <w:color w:val="2E4057"/>
          <w:sz w:val="26"/>
        </w:rPr>
        <w:t>Production Objectives</w:t>
      </w:r>
    </w:p>
    <w:p>
      <w:pPr>
        <w:spacing w:after="120"/>
      </w:pPr>
      <w:r>
        <w:rPr>
          <w:rFonts w:ascii="Arial" w:hAnsi="Arial"/>
          <w:b w:val="0"/>
          <w:i w:val="0"/>
          <w:color w:val="222222"/>
          <w:sz w:val="22"/>
        </w:rPr>
        <w:t>Production targets include monthly output of 5,000 units per product line, efficiency rate above 92%, equipment utilization at least 90%, defect rate below 2%, and on-time completion over 95%. Timelines span from April 1 to May 31, 2026, with reviews and reporting by June 5.</w:t>
      </w:r>
    </w:p>
    <w:p>
      <w:pPr>
        <w:spacing w:after="120"/>
      </w:pPr>
    </w:p>
    <w:p>
      <w:pPr>
        <w:spacing w:before="240" w:after="100"/>
        <w:pBdr>
          <w:bottom w:val="single" w:sz="6" w:space="1" w:color="2E4057"/>
        </w:pBdr>
      </w:pPr>
      <w:r>
        <w:rPr>
          <w:rFonts w:ascii="Arial" w:hAnsi="Arial"/>
          <w:b/>
          <w:i w:val="0"/>
          <w:color w:val="2E4057"/>
          <w:sz w:val="26"/>
        </w:rPr>
        <w:t>Product Specifications</w:t>
      </w:r>
    </w:p>
    <w:p>
      <w:pPr>
        <w:spacing w:after="120"/>
      </w:pPr>
      <w:r>
        <w:rPr>
          <w:rFonts w:ascii="Arial" w:hAnsi="Arial"/>
          <w:b w:val="0"/>
          <w:i w:val="0"/>
          <w:color w:val="222222"/>
          <w:sz w:val="22"/>
        </w:rPr>
        <w:t>Product specifications include Intel Core i7 or equivalent processor, 16 GB RAM minimum, 512 GB SSD, 14-inch Full HD anti-glare display, 10-hour battery life, enterprise-grade OS, Wi-Fi 6, Bluetooth 5.0, USB-C, HDMI connectivity. Performance criteria ensure boot time ≤10 seconds, uptime ≥99%, latency ≤2 seconds, safe thermal levels.</w:t>
      </w:r>
    </w:p>
    <w:p>
      <w:pPr>
        <w:spacing w:after="120"/>
      </w:pPr>
    </w:p>
    <w:p>
      <w:pPr>
        <w:spacing w:before="240" w:after="100"/>
        <w:pBdr>
          <w:bottom w:val="single" w:sz="6" w:space="1" w:color="2E4057"/>
        </w:pBdr>
      </w:pPr>
      <w:r>
        <w:rPr>
          <w:rFonts w:ascii="Arial" w:hAnsi="Arial"/>
          <w:b/>
          <w:i w:val="0"/>
          <w:color w:val="2E4057"/>
          <w:sz w:val="26"/>
        </w:rPr>
        <w:t>Production Volume Targets</w:t>
      </w:r>
    </w:p>
    <w:p>
      <w:pPr>
        <w:spacing w:after="120"/>
      </w:pPr>
      <w:r>
        <w:rPr>
          <w:rFonts w:ascii="Arial" w:hAnsi="Arial"/>
          <w:b w:val="0"/>
          <w:i w:val="0"/>
          <w:color w:val="222222"/>
          <w:sz w:val="22"/>
        </w:rPr>
        <w:t>Production targets for April to June 2026 are set monthly: Dell XPS laptops 5,000 units, office chairs 8,000, wireless mice 15,000, monitors 6,000, mechanical keyboards 7,000, printers 2,000, external drives 4,000, USB-C adapters 12,000. Weekly milestones at 25%, with monthly and final reviews.</w:t>
      </w:r>
    </w:p>
    <w:p>
      <w:pPr>
        <w:spacing w:after="120"/>
      </w:pPr>
    </w:p>
    <w:p>
      <w:pPr>
        <w:spacing w:before="240" w:after="100"/>
        <w:pBdr>
          <w:bottom w:val="single" w:sz="6" w:space="1" w:color="2E4057"/>
        </w:pBdr>
      </w:pPr>
      <w:r>
        <w:rPr>
          <w:rFonts w:ascii="Arial" w:hAnsi="Arial"/>
          <w:b/>
          <w:i w:val="0"/>
          <w:color w:val="2E4057"/>
          <w:sz w:val="26"/>
        </w:rPr>
        <w:t>Production Schedule</w:t>
      </w:r>
    </w:p>
    <w:p>
      <w:pPr>
        <w:spacing w:after="120"/>
      </w:pPr>
      <w:r>
        <w:rPr>
          <w:rFonts w:ascii="Arial" w:hAnsi="Arial"/>
          <w:b w:val="0"/>
          <w:i w:val="0"/>
          <w:color w:val="222222"/>
          <w:sz w:val="22"/>
        </w:rPr>
        <w:t>The following table outlines the detailed production schedule, including planned versus actual quantities, status, responsible teams, and relevant remarks for each production date and product.</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Production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Planned Quantity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Actual Quantity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 / Shift</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Notes / Remarks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Laptop - Dell XPS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195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Assembly Team A (Morning Shift)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Minor component delay; resolved within shift</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Office Chair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Manufacturing Team B (Evening Shift)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Higher output due to improved workflow efficiency</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Wireless Mouse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480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Delayed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Electronics Team C (Morning Shift)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Delay due to supply shortage of microchips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 24-inch</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Assembly Team A (Evening Shift)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Production met target with no issues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Keyboard Mechanical</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290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Electronics Team C (Morning Shift)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Slight variance due to calibration adjustments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Printer HP LaserJet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Delayed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Technical Team D (Evening Shift)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Delay caused by equipment maintenance</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External Hard Drive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210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Storage Devices Team E (Morning Shift)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Output exceeded target due to optimized process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USB-C Adapter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390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 Schedule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Accessories Team F (Evening Shift)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Minor shortfall due to packaging delay</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Resource Requirements</w:t>
      </w:r>
    </w:p>
    <w:p>
      <w:pPr>
        <w:spacing w:after="120"/>
      </w:pPr>
      <w:r>
        <w:rPr>
          <w:rFonts w:ascii="Arial" w:hAnsi="Arial"/>
          <w:b w:val="0"/>
          <w:i w:val="0"/>
          <w:color w:val="222222"/>
          <w:sz w:val="22"/>
        </w:rPr>
        <w:t>Personnel required include 50 production operators, 10 quality assurance inspectors, 8 maintenance technicians, and 5 supervisors. Equipment needs are 12 automated assembly machines, 6 CNC machines, 8 packaging units, and 10 testing devices. Software licenses cover ERP, MES, inventory, and quality tools.</w:t>
      </w:r>
    </w:p>
    <w:p>
      <w:pPr>
        <w:spacing w:after="120"/>
      </w:pPr>
    </w:p>
    <w:p>
      <w:pPr>
        <w:spacing w:before="240" w:after="100"/>
        <w:pBdr>
          <w:bottom w:val="single" w:sz="6" w:space="1" w:color="2E4057"/>
        </w:pBdr>
      </w:pPr>
      <w:r>
        <w:rPr>
          <w:rFonts w:ascii="Arial" w:hAnsi="Arial"/>
          <w:b/>
          <w:i w:val="0"/>
          <w:color w:val="2E4057"/>
          <w:sz w:val="26"/>
        </w:rPr>
        <w:t>Workforce Allocation</w:t>
      </w:r>
    </w:p>
    <w:p>
      <w:pPr>
        <w:spacing w:after="120"/>
      </w:pPr>
      <w:r>
        <w:rPr>
          <w:rFonts w:ascii="Arial" w:hAnsi="Arial"/>
          <w:b w:val="0"/>
          <w:i w:val="0"/>
          <w:color w:val="222222"/>
          <w:sz w:val="22"/>
        </w:rPr>
        <w:t>The production workforce comprises 73 employees operating on three shifts: morning (06:00-14:00), evening (14:00-22:00), and night (22:00-06:00) with weekly rotation and staggered weekly offs. Planned training includes automation, MES updates, quality control, safety compliance, and cross-functional skills for flexibility.</w:t>
      </w:r>
    </w:p>
    <w:p>
      <w:pPr>
        <w:spacing w:after="120"/>
      </w:pPr>
    </w:p>
    <w:p>
      <w:pPr>
        <w:spacing w:before="240" w:after="100"/>
        <w:pBdr>
          <w:bottom w:val="single" w:sz="6" w:space="1" w:color="2E4057"/>
        </w:pBdr>
      </w:pPr>
      <w:r>
        <w:rPr>
          <w:rFonts w:ascii="Arial" w:hAnsi="Arial"/>
          <w:b/>
          <w:i w:val="0"/>
          <w:color w:val="2E4057"/>
          <w:sz w:val="26"/>
        </w:rPr>
        <w:t>Equipment and Machinery Requirements</w:t>
      </w:r>
    </w:p>
    <w:p>
      <w:pPr>
        <w:spacing w:after="120"/>
      </w:pPr>
      <w:r>
        <w:rPr>
          <w:rFonts w:ascii="Arial" w:hAnsi="Arial"/>
          <w:b w:val="0"/>
          <w:i w:val="0"/>
          <w:color w:val="222222"/>
          <w:sz w:val="22"/>
        </w:rPr>
        <w:t>Equipment includes 12 ASM-5000 automated assembly machines, 6 CNC-X200 units, 8 PKG-800 packaging machines, 10 CON-300 conveyors, 10 QIS-400 scanners, 4 LCM-250 laser cutters, and 6 IRB-1600 robot arms. Maintenance follows daily inspections, weekly checks, monthly calibrations, and quarterly servicing.</w:t>
      </w:r>
    </w:p>
    <w:p>
      <w:pPr>
        <w:spacing w:after="120"/>
      </w:pPr>
    </w:p>
    <w:p>
      <w:pPr>
        <w:spacing w:before="240" w:after="100"/>
        <w:pBdr>
          <w:bottom w:val="single" w:sz="6" w:space="1" w:color="2E4057"/>
        </w:pBdr>
      </w:pPr>
      <w:r>
        <w:rPr>
          <w:rFonts w:ascii="Arial" w:hAnsi="Arial"/>
          <w:b/>
          <w:i w:val="0"/>
          <w:color w:val="2E4057"/>
          <w:sz w:val="26"/>
        </w:rPr>
        <w:t>Quality Control Measures</w:t>
      </w:r>
    </w:p>
    <w:p>
      <w:pPr>
        <w:spacing w:after="120"/>
      </w:pPr>
      <w:r>
        <w:rPr>
          <w:rFonts w:ascii="Arial" w:hAnsi="Arial"/>
          <w:b w:val="0"/>
          <w:i w:val="0"/>
          <w:color w:val="222222"/>
          <w:sz w:val="22"/>
        </w:rPr>
        <w:t>Turabit adheres to ISO 9001:2015, ISO 14001, ISO 45001, and Six Sigma methodologies. The Quality Assurance Manager, supported by the Quality Control Team and Operations Manager, enforces standards. Key KPIs include defect rate, first pass yield, rework rate, customer returns, process compliance, audit findings, and CAPA closure rate.</w:t>
      </w:r>
    </w:p>
    <w:p>
      <w:pPr>
        <w:spacing w:after="120"/>
      </w:pPr>
    </w:p>
    <w:p>
      <w:pPr>
        <w:spacing w:before="240" w:after="100"/>
        <w:pBdr>
          <w:bottom w:val="single" w:sz="6" w:space="1" w:color="2E4057"/>
        </w:pBdr>
      </w:pPr>
      <w:r>
        <w:rPr>
          <w:rFonts w:ascii="Arial" w:hAnsi="Arial"/>
          <w:b/>
          <w:i w:val="0"/>
          <w:color w:val="2E4057"/>
          <w:sz w:val="26"/>
        </w:rPr>
        <w:t>Production Risk Considerations</w:t>
      </w:r>
    </w:p>
    <w:p>
      <w:pPr>
        <w:spacing w:after="120"/>
      </w:pPr>
      <w:r>
        <w:rPr>
          <w:rFonts w:ascii="Arial" w:hAnsi="Arial"/>
          <w:b w:val="0"/>
          <w:i w:val="0"/>
          <w:color w:val="222222"/>
          <w:sz w:val="22"/>
        </w:rPr>
        <w:t>Key production risks include supply chain disruptions, equipment failures, workforce shortages, quality control issues, procurement delays, cybersecurity threats, and regulatory changes. Mitigation strategies involve multiple suppliers, preventive maintenance, cross-training, quality protocols, safety stock, IT security, compliance audits, and defined contingency plans with escalation procedures.</w:t>
      </w:r>
    </w:p>
    <w:p>
      <w:pPr>
        <w:spacing w:after="120"/>
      </w:pPr>
    </w:p>
    <w:p>
      <w:pPr>
        <w:spacing w:before="240" w:after="100"/>
        <w:pBdr>
          <w:bottom w:val="single" w:sz="6" w:space="1" w:color="2E4057"/>
        </w:pBdr>
      </w:pPr>
      <w:r>
        <w:rPr>
          <w:rFonts w:ascii="Arial" w:hAnsi="Arial"/>
          <w:b/>
          <w:i w:val="0"/>
          <w:color w:val="2E4057"/>
          <w:sz w:val="26"/>
        </w:rPr>
        <w:t>Monitoring and Performance Metrics</w:t>
      </w:r>
    </w:p>
    <w:p>
      <w:pPr>
        <w:spacing w:after="120"/>
      </w:pPr>
      <w:r>
        <w:rPr>
          <w:rFonts w:ascii="Arial" w:hAnsi="Arial"/>
          <w:b w:val="0"/>
          <w:i w:val="0"/>
          <w:color w:val="222222"/>
          <w:sz w:val="22"/>
        </w:rPr>
        <w:t>The Operations department tracks key performance indicators including production output volume, efficiency rate, equipment utilization, defect rate, first pass yield, downtime, on-time completion, inventory turnover, rework rate, and order fulfillment cycle time. Operations Analysts and Supervisors report daily, weekly, monthly, and quarterly using ERP and MES dashboards and PDFs.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Production Supervisor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Production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