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Standard Operating Procedure (SOP)</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Operations</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Document Owner: Human Resources Manager</w:t>
      </w:r>
    </w:p>
    <w:p>
      <w:pPr>
        <w:spacing w:after="120"/>
      </w:pPr>
      <w:r>
        <w:rPr>
          <w:rFonts w:ascii="Arial" w:hAnsi="Arial"/>
          <w:b w:val="0"/>
          <w:i w:val="0"/>
          <w:color w:val="222222"/>
          <w:sz w:val="22"/>
        </w:rPr>
        <w:t>Version: 1.0</w:t>
      </w:r>
    </w:p>
    <w:p>
      <w:pPr>
        <w:spacing w:after="120"/>
      </w:pPr>
      <w:r>
        <w:rPr>
          <w:rFonts w:ascii="Arial" w:hAnsi="Arial"/>
          <w:b w:val="0"/>
          <w:i w:val="0"/>
          <w:color w:val="222222"/>
          <w:sz w:val="22"/>
        </w:rPr>
        <w:t>Review Frequency: Annually</w:t>
      </w:r>
    </w:p>
    <w:p>
      <w:pPr>
        <w:spacing w:after="120"/>
      </w:pPr>
      <w:r>
        <w:rPr>
          <w:rFonts w:ascii="Arial" w:hAnsi="Arial"/>
          <w:b w:val="0"/>
          <w:i w:val="0"/>
          <w:color w:val="222222"/>
          <w:sz w:val="22"/>
        </w:rPr>
        <w:t>Confidentiality Level: Internal Use Only</w:t>
      </w:r>
    </w:p>
    <w:p>
      <w:pPr>
        <w:spacing w:after="120"/>
      </w:pPr>
      <w:r>
        <w:rPr>
          <w:rFonts w:ascii="Arial" w:hAnsi="Arial"/>
          <w:b w:val="0"/>
          <w:i w:val="0"/>
          <w:color w:val="222222"/>
          <w:sz w:val="22"/>
        </w:rPr>
        <w:t>Distribution List: Operations Team, HR Department, Compliance Office</w:t>
      </w:r>
    </w:p>
    <w:p>
      <w:pPr>
        <w:spacing w:after="120"/>
      </w:pPr>
    </w:p>
    <w:p>
      <w:pPr>
        <w:spacing w:before="240" w:after="100"/>
        <w:pBdr>
          <w:bottom w:val="single" w:sz="6" w:space="1" w:color="2E4057"/>
        </w:pBdr>
      </w:pPr>
      <w:r>
        <w:rPr>
          <w:rFonts w:ascii="Arial" w:hAnsi="Arial"/>
          <w:b/>
          <w:i w:val="0"/>
          <w:color w:val="2E4057"/>
          <w:sz w:val="26"/>
        </w:rPr>
        <w:t>Purpose of the Procedure</w:t>
      </w:r>
    </w:p>
    <w:p>
      <w:pPr>
        <w:spacing w:after="120"/>
      </w:pPr>
      <w:r>
        <w:rPr>
          <w:rFonts w:ascii="Arial" w:hAnsi="Arial"/>
          <w:b w:val="0"/>
          <w:i w:val="0"/>
          <w:color w:val="222222"/>
          <w:sz w:val="22"/>
        </w:rPr>
        <w:t>The procedure aims to standardize operational workflows within turabit’s Technology and SaaS environment in India, ensuring consistent execution and compliance. It addresses challenges related to process inefficiencies and regulatory adherence. By implementing this procedure, turabit expects to enhance operational accuracy, reduce errors, and improve audit readiness. The procedure supports the IT Compliance Officer in maintaining governance and meeting internal and external compliance requirements effectively.</w:t>
      </w:r>
    </w:p>
    <w:p>
      <w:pPr>
        <w:spacing w:after="120"/>
      </w:pPr>
    </w:p>
    <w:p>
      <w:pPr>
        <w:spacing w:before="240" w:after="100"/>
        <w:pBdr>
          <w:bottom w:val="single" w:sz="6" w:space="1" w:color="2E4057"/>
        </w:pBdr>
      </w:pPr>
      <w:r>
        <w:rPr>
          <w:rFonts w:ascii="Arial" w:hAnsi="Arial"/>
          <w:b/>
          <w:i w:val="0"/>
          <w:color w:val="2E4057"/>
          <w:sz w:val="26"/>
        </w:rPr>
        <w:t>Scope of the Procedure</w:t>
      </w:r>
    </w:p>
    <w:p>
      <w:pPr>
        <w:spacing w:after="120"/>
      </w:pPr>
      <w:r>
        <w:rPr>
          <w:rFonts w:ascii="Arial" w:hAnsi="Arial"/>
          <w:b w:val="0"/>
          <w:i w:val="0"/>
          <w:color w:val="222222"/>
          <w:sz w:val="22"/>
        </w:rPr>
        <w:t>The procedure covers system upgrade and maintenance processes within the Operations department, focusing on planning, execution, monitoring, and documentation. It addresses inefficiencies such as inconsistent execution, delayed issue resolution, and limited cross-department coordination. Exclusions include activities outside system-related operations. Objectives include reducing process time, improving uptime, enhancing communication, ensuring compliance, accelerating issue resolution, and maintaining audit-ready documentation.</w:t>
      </w:r>
    </w:p>
    <w:p>
      <w:pPr>
        <w:spacing w:after="120"/>
      </w:pPr>
    </w:p>
    <w:p>
      <w:pPr>
        <w:spacing w:before="240" w:after="100"/>
        <w:pBdr>
          <w:bottom w:val="single" w:sz="6" w:space="1" w:color="2E4057"/>
        </w:pBdr>
      </w:pPr>
      <w:r>
        <w:rPr>
          <w:rFonts w:ascii="Arial" w:hAnsi="Arial"/>
          <w:b/>
          <w:i w:val="0"/>
          <w:color w:val="2E4057"/>
          <w:sz w:val="26"/>
        </w:rPr>
        <w:t>Definitions and Key Terms</w:t>
      </w:r>
    </w:p>
    <w:p>
      <w:pPr>
        <w:spacing w:after="80"/>
        <w:ind w:left="360"/>
      </w:pPr>
      <w:r>
        <w:rPr>
          <w:rFonts w:ascii="Arial" w:hAnsi="Arial"/>
          <w:b w:val="0"/>
          <w:i w:val="0"/>
          <w:color w:val="222222"/>
          <w:sz w:val="22"/>
        </w:rPr>
        <w:t>1. OPS: Operations Department 2. SOP: Standard Operating Procedure 3. SLA: Service Level Agreement 4. KPI: Key Performance Indicator 5. RCA: Root Cause Analysis 6. UAT: User Acceptance Testing 7. CR: Change Request 8. IR: Incident Report 9. TAT: Turnaround Time 10. DMS: Document Management System 11. GDPR: General Data Protection Regulation 12. ISO 27001: Information Security Management Standard 13. ITIL: Information Technology Infrastructure Library 14.</w:t>
      </w:r>
    </w:p>
    <w:p>
      <w:pPr>
        <w:spacing w:after="120"/>
      </w:pPr>
    </w:p>
    <w:p>
      <w:pPr>
        <w:spacing w:before="240" w:after="100"/>
        <w:pBdr>
          <w:bottom w:val="single" w:sz="6" w:space="1" w:color="2E4057"/>
        </w:pBdr>
      </w:pPr>
      <w:r>
        <w:rPr>
          <w:rFonts w:ascii="Arial" w:hAnsi="Arial"/>
          <w:b/>
          <w:i w:val="0"/>
          <w:color w:val="2E4057"/>
          <w:sz w:val="26"/>
        </w:rPr>
        <w:t>Roles and Responsibilities</w:t>
      </w:r>
    </w:p>
    <w:p>
      <w:pPr>
        <w:spacing w:after="120"/>
      </w:pPr>
      <w:r>
        <w:rPr>
          <w:rFonts w:ascii="Arial" w:hAnsi="Arial"/>
          <w:b w:val="0"/>
          <w:i w:val="0"/>
          <w:color w:val="222222"/>
          <w:sz w:val="22"/>
        </w:rPr>
        <w:t>The Operations Manager is accountable for ensuring the effective execution and compliance of this procedure across all involved roles.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Project Manager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Operations Manager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System Administrator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Quality Assurance (QA) Engineer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Requirement Gathering and Analysis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Project Planning and Scheduling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Design and Architecture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Development and Configuration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Testing and Quality Assurance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Deployment and Release Management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Incident Management and Issue Resolution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Documentation and Reporting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Required Tools and Resources</w:t>
      </w:r>
    </w:p>
    <w:p>
      <w:pPr>
        <w:spacing w:after="120"/>
      </w:pPr>
      <w:r>
        <w:rPr>
          <w:rFonts w:ascii="Arial" w:hAnsi="Arial"/>
          <w:b w:val="0"/>
          <w:i w:val="0"/>
          <w:color w:val="222222"/>
          <w:sz w:val="22"/>
        </w:rPr>
        <w:t>Required tools include Jira, Microsoft Project, Visual Studio Code, Git, Selenium, PostgreSQL, AWS/Azure, Jenkins, Grafana, Microsoft Teams, Confluence, antivirus software, developer workstations, and servers. Access requires role-based permissions, MFA-enabled accounts, licensed subscriptions, appropriate IAM roles, database credentials, and secure VPN connectivity. Constraints involve limited licensed seats, network bandwidth, hardware capacity, security restrictions, third-party service uptime, storage limits, and shared resource delays.</w:t>
      </w:r>
    </w:p>
    <w:p>
      <w:pPr>
        <w:spacing w:after="120"/>
      </w:pPr>
    </w:p>
    <w:p>
      <w:pPr>
        <w:spacing w:before="240" w:after="100"/>
        <w:pBdr>
          <w:bottom w:val="single" w:sz="6" w:space="1" w:color="2E4057"/>
        </w:pBdr>
      </w:pPr>
      <w:r>
        <w:rPr>
          <w:rFonts w:ascii="Arial" w:hAnsi="Arial"/>
          <w:b/>
          <w:i w:val="0"/>
          <w:color w:val="2E4057"/>
          <w:sz w:val="26"/>
        </w:rPr>
        <w:t>Process Overview</w:t>
      </w:r>
    </w:p>
    <w:p>
      <w:pPr>
        <w:spacing w:after="120"/>
      </w:pPr>
      <w:r>
        <w:rPr>
          <w:rFonts w:ascii="Arial" w:hAnsi="Arial"/>
          <w:b w:val="0"/>
          <w:i w:val="0"/>
          <w:color w:val="222222"/>
          <w:sz w:val="22"/>
        </w:rPr>
        <w:t>The System Upgrade and Maintenance Process ensures consistent planning, execution, monitoring, and documentation of upgrades and maintenance activities. It supports operational efficiency, system reliability, and compliance with company standards. The Operations Manager oversees process adherence. Key inputs include business requirements, change requests, system performance data, and incident reports. Outputs consist of updated system versions, performance reports, deployment logs, and audit documentation. Tools utilized are Jira, Git, AWS/Azure, Jenkins, PostgreSQL, and monitoring systems.</w:t>
      </w:r>
    </w:p>
    <w:p>
      <w:pPr>
        <w:spacing w:after="120"/>
      </w:pPr>
    </w:p>
    <w:p>
      <w:pPr>
        <w:spacing w:before="240" w:after="100"/>
        <w:pBdr>
          <w:bottom w:val="single" w:sz="6" w:space="1" w:color="2E4057"/>
        </w:pBdr>
      </w:pPr>
      <w:r>
        <w:rPr>
          <w:rFonts w:ascii="Arial" w:hAnsi="Arial"/>
          <w:b/>
          <w:i w:val="0"/>
          <w:color w:val="2E4057"/>
          <w:sz w:val="26"/>
        </w:rPr>
        <w:t>Step-by-Step Procedure</w:t>
      </w:r>
    </w:p>
    <w:p>
      <w:pPr>
        <w:spacing w:after="80"/>
        <w:ind w:left="360"/>
      </w:pPr>
      <w:r>
        <w:rPr>
          <w:rFonts w:ascii="Arial" w:hAnsi="Arial"/>
          <w:b w:val="0"/>
          <w:i w:val="0"/>
          <w:color w:val="222222"/>
          <w:sz w:val="22"/>
        </w:rPr>
        <w:t>1. Receive and review change request using Jira. 2. Conduct analysis and feasibility assessment. 3. Obtain approvals from stakeholders. 4. Prepare project plan in Microsoft Project. 5. Design architecture with Visual Studio Code and Git. 6. Set up environments on AWS, Docker, Kubernetes. 7. Develop and configure system components. 8. Integrate via REST APIs and Postman. 9. Test using Selenium, JMeter, Postman. 10.</w:t>
      </w:r>
    </w:p>
    <w:p>
      <w:pPr>
        <w:spacing w:after="120"/>
      </w:pPr>
    </w:p>
    <w:p>
      <w:pPr>
        <w:spacing w:before="240" w:after="100"/>
        <w:pBdr>
          <w:bottom w:val="single" w:sz="6" w:space="1" w:color="2E4057"/>
        </w:pBdr>
      </w:pPr>
      <w:r>
        <w:rPr>
          <w:rFonts w:ascii="Arial" w:hAnsi="Arial"/>
          <w:b/>
          <w:i w:val="0"/>
          <w:color w:val="2E4057"/>
          <w:sz w:val="26"/>
        </w:rPr>
        <w:t>Quality and Compliance Requirements</w:t>
      </w:r>
    </w:p>
    <w:p>
      <w:pPr>
        <w:spacing w:after="120"/>
      </w:pPr>
      <w:r>
        <w:rPr>
          <w:rFonts w:ascii="Arial" w:hAnsi="Arial"/>
          <w:b w:val="0"/>
          <w:i w:val="0"/>
          <w:color w:val="222222"/>
          <w:sz w:val="22"/>
        </w:rPr>
        <w:t>The SOP complies with ISO 9001, ISO 27001, GDPR, SOC 2, ITIL Framework, and internal Data Protection and Privacy Policies. The IT Compliance Officer and Compliance and Risk Management Team monitor adherence. Key performance indicators include: 1. Percentage compliance with SOP processes 2. Audit findings 3. Resolution time for compliance issues 4. Security incident frequency 5. System uptime and SLA adherence 6. Documentation accuracy 7. Employee training compliance.</w:t>
      </w:r>
    </w:p>
    <w:p>
      <w:pPr>
        <w:spacing w:after="120"/>
      </w:pPr>
    </w:p>
    <w:p>
      <w:pPr>
        <w:spacing w:before="240" w:after="100"/>
        <w:pBdr>
          <w:bottom w:val="single" w:sz="6" w:space="1" w:color="2E4057"/>
        </w:pBdr>
      </w:pPr>
      <w:r>
        <w:rPr>
          <w:rFonts w:ascii="Arial" w:hAnsi="Arial"/>
          <w:b/>
          <w:i w:val="0"/>
          <w:color w:val="2E4057"/>
          <w:sz w:val="26"/>
        </w:rPr>
        <w:t>Safety Considerations</w:t>
      </w:r>
    </w:p>
    <w:p>
      <w:pPr>
        <w:spacing w:after="120"/>
      </w:pPr>
      <w:r>
        <w:rPr>
          <w:rFonts w:ascii="Arial" w:hAnsi="Arial"/>
          <w:b w:val="0"/>
          <w:i w:val="0"/>
          <w:color w:val="222222"/>
          <w:sz w:val="22"/>
        </w:rPr>
        <w:t>Employees must follow workplace safety and ergonomic guidelines, secure system access protocols, and proper hardware handling. Compliance with electrical safety standards and maintenance of clean workspaces is mandatory. Use only authorized tools and software, adhering to data security and confidentiality protocols. Report unsafe conditions or incidents immediately to the designated authority. Mandatory training includes Workplace Safety, Information Security, Data Protection, Equipment Handling, and Fire Safety, with periodic refreshers.</w:t>
      </w:r>
    </w:p>
    <w:p>
      <w:pPr>
        <w:spacing w:after="120"/>
      </w:pPr>
    </w:p>
    <w:p>
      <w:pPr>
        <w:spacing w:before="240" w:after="100"/>
        <w:pBdr>
          <w:bottom w:val="single" w:sz="6" w:space="1" w:color="2E4057"/>
        </w:pBdr>
      </w:pPr>
      <w:r>
        <w:rPr>
          <w:rFonts w:ascii="Arial" w:hAnsi="Arial"/>
          <w:b/>
          <w:i w:val="0"/>
          <w:color w:val="2E4057"/>
          <w:sz w:val="26"/>
        </w:rPr>
        <w:t>Exception Handling</w:t>
      </w:r>
    </w:p>
    <w:p>
      <w:pPr>
        <w:spacing w:after="120"/>
      </w:pPr>
      <w:r>
        <w:rPr>
          <w:rFonts w:ascii="Arial" w:hAnsi="Arial"/>
          <w:b w:val="0"/>
          <w:i w:val="0"/>
          <w:color w:val="222222"/>
          <w:sz w:val="22"/>
        </w:rPr>
        <w:t>Exceptions include system failures, data corruption, security breaches, integration and deployment failures, performance issues, compliance violations, and critical user-reported incidents. The Operations Manager, IT Project Manager, and IT Compliance Officer manage and escalate these.</w:t>
      </w:r>
    </w:p>
    <w:p>
      <w:pPr>
        <w:spacing w:after="80"/>
      </w:pPr>
    </w:p>
    <w:p>
      <w:pPr>
        <w:spacing w:after="120"/>
      </w:pPr>
      <w:r>
        <w:rPr>
          <w:rFonts w:ascii="Arial" w:hAnsi="Arial"/>
          <w:b w:val="0"/>
          <w:i w:val="0"/>
          <w:color w:val="222222"/>
          <w:sz w:val="22"/>
        </w:rPr>
        <w:t>Incidents must be reported within 1 hour, assessed in 2 hours, escalated if critical by 4 hours, and resolved based on priority within specified timelines. Post-incident reviews occur within 5 business days.</w:t>
      </w:r>
    </w:p>
    <w:p>
      <w:pPr>
        <w:spacing w:after="120"/>
      </w:pPr>
    </w:p>
    <w:p>
      <w:pPr>
        <w:spacing w:before="240" w:after="100"/>
        <w:pBdr>
          <w:bottom w:val="single" w:sz="6" w:space="1" w:color="2E4057"/>
        </w:pBdr>
      </w:pPr>
      <w:r>
        <w:rPr>
          <w:rFonts w:ascii="Arial" w:hAnsi="Arial"/>
          <w:b/>
          <w:i w:val="0"/>
          <w:color w:val="2E4057"/>
          <w:sz w:val="26"/>
        </w:rPr>
        <w:t>Documentation and Record Keeping</w:t>
      </w:r>
    </w:p>
    <w:p>
      <w:pPr>
        <w:spacing w:after="120"/>
      </w:pPr>
      <w:r>
        <w:rPr>
          <w:rFonts w:ascii="Arial" w:hAnsi="Arial"/>
          <w:b w:val="0"/>
          <w:i w:val="0"/>
          <w:color w:val="222222"/>
          <w:sz w:val="22"/>
        </w:rPr>
        <w:t>All operational records and documentation must be retained for a period of 7 years from the date of creation, in compliance with organizational data retention policies and applicable regulations. The Operations Manager, in coordination with the IT Compliance Officer and Internal Audit Team, is responsible for maintaining, reviewing, and auditing all relevant documents to ensure accuracy, completeness, and regulatory adherence within the Operations department.</w:t>
      </w:r>
    </w:p>
    <w:p>
      <w:pPr>
        <w:spacing w:after="120"/>
      </w:pPr>
    </w:p>
    <w:p>
      <w:pPr>
        <w:spacing w:before="240" w:after="100"/>
        <w:pBdr>
          <w:bottom w:val="single" w:sz="6" w:space="1" w:color="2E4057"/>
        </w:pBdr>
      </w:pPr>
      <w:r>
        <w:rPr>
          <w:rFonts w:ascii="Arial" w:hAnsi="Arial"/>
          <w:b/>
          <w:i w:val="0"/>
          <w:color w:val="2E4057"/>
          <w:sz w:val="26"/>
        </w:rPr>
        <w:t>Performance Monitoring</w:t>
      </w:r>
    </w:p>
    <w:p>
      <w:pPr>
        <w:spacing w:after="120"/>
      </w:pPr>
      <w:r>
        <w:rPr>
          <w:rFonts w:ascii="Arial" w:hAnsi="Arial"/>
          <w:b w:val="0"/>
          <w:i w:val="0"/>
          <w:color w:val="222222"/>
          <w:sz w:val="22"/>
        </w:rPr>
        <w:t>Performance metrics monitored include system uptime, incident response time, incident counts, system latency, deployment success, change request TAT, data accuracy, user satisfaction, resource utilization, and compliance rates. The Operations Manager and Reporting Manager review data weekly and monthly, providing quarterly executive summaries. Tools used are Grafana, CloudWatch, ELK Stack, Jira, Power BI, Tableau, pgAdmin, Confluence, and SharePoint for tracking, analysis, and reporting.</w:t>
      </w:r>
    </w:p>
    <w:p>
      <w:pPr>
        <w:spacing w:after="120"/>
      </w:pPr>
    </w:p>
    <w:p>
      <w:pPr>
        <w:spacing w:before="240" w:after="100"/>
        <w:pBdr>
          <w:bottom w:val="single" w:sz="6" w:space="1" w:color="2E4057"/>
        </w:pBdr>
      </w:pPr>
      <w:r>
        <w:rPr>
          <w:rFonts w:ascii="Arial" w:hAnsi="Arial"/>
          <w:b/>
          <w:i w:val="0"/>
          <w:color w:val="2E4057"/>
          <w:sz w:val="26"/>
        </w:rPr>
        <w:t>Procedure Review and Updates</w:t>
      </w:r>
    </w:p>
    <w:p>
      <w:pPr>
        <w:spacing w:after="120"/>
      </w:pPr>
      <w:r>
        <w:rPr>
          <w:rFonts w:ascii="Arial" w:hAnsi="Arial"/>
          <w:b w:val="0"/>
          <w:i w:val="0"/>
          <w:color w:val="222222"/>
          <w:sz w:val="22"/>
        </w:rPr>
        <w:t>The SOP shall be reviewed biannually to ensure accuracy and relevance. The Operations Manager is responsible for conducting the review and recommending updates. Any revisions must be approved by the Head of Operations before implementation. All changes shall be documented, and the updated version distributed to relevant personnel. Urgent updates may be made as needed to address critical issues or regulatory changes.</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Health and Safety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Standard Operating Procedure (SOP)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Standard Operating Procedure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