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Supplier Evaluation Report</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Supplier Evaluation Report covers the period from 01 January 2026 to 31 March 2026. The evaluation was conducted by the Vendor Management Specialist within the Operations department of turabit. The report reflects supplier performance in the Technology and SaaS industry for India.</w:t>
      </w:r>
    </w:p>
    <w:p>
      <w:pPr>
        <w:spacing w:after="120"/>
      </w:pPr>
    </w:p>
    <w:p>
      <w:pPr>
        <w:spacing w:before="240" w:after="100"/>
        <w:pBdr>
          <w:bottom w:val="single" w:sz="6" w:space="1" w:color="2E4057"/>
        </w:pBdr>
      </w:pPr>
      <w:r>
        <w:rPr>
          <w:rFonts w:ascii="Arial" w:hAnsi="Arial"/>
          <w:b/>
          <w:i w:val="0"/>
          <w:color w:val="2E4057"/>
          <w:sz w:val="26"/>
        </w:rPr>
        <w:t>Supplier Identification</w:t>
      </w:r>
    </w:p>
    <w:p>
      <w:pPr>
        <w:spacing w:after="120"/>
      </w:pPr>
      <w:r>
        <w:rPr>
          <w:rFonts w:ascii="Arial" w:hAnsi="Arial"/>
          <w:b w:val="0"/>
          <w:i w:val="0"/>
          <w:color w:val="222222"/>
          <w:sz w:val="22"/>
        </w:rPr>
        <w:t>The supplier evaluated is ABC Logistics Private Limited, located at Plot No. 45, Industrial Estate Phase II, Vatva, Ahmedabad, Gujarat, 382445, India. The primary contact is Rohit Sharma, Account Manager, reachable at rohit.sharma@abclogistics.com and +91-98765-43210.</w:t>
      </w:r>
    </w:p>
    <w:p>
      <w:pPr>
        <w:spacing w:after="120"/>
      </w:pPr>
    </w:p>
    <w:p>
      <w:pPr>
        <w:spacing w:before="240" w:after="100"/>
        <w:pBdr>
          <w:bottom w:val="single" w:sz="6" w:space="1" w:color="2E4057"/>
        </w:pBdr>
      </w:pPr>
      <w:r>
        <w:rPr>
          <w:rFonts w:ascii="Arial" w:hAnsi="Arial"/>
          <w:b/>
          <w:i w:val="0"/>
          <w:color w:val="2E4057"/>
          <w:sz w:val="26"/>
        </w:rPr>
        <w:t>Purpose of Evaluation</w:t>
      </w:r>
    </w:p>
    <w:p>
      <w:pPr>
        <w:spacing w:after="120"/>
      </w:pPr>
      <w:r>
        <w:rPr>
          <w:rFonts w:ascii="Arial" w:hAnsi="Arial"/>
          <w:b w:val="0"/>
          <w:i w:val="0"/>
          <w:color w:val="222222"/>
          <w:sz w:val="22"/>
        </w:rPr>
        <w:t>The evaluation aims to ensure consistent supplier performance, identify strengths and weaknesses, optimize costs, enhance quality, mitigate supply risks, support strategic sourcing, improve vendor collaboration, and drive continuous improvement through benchmarking of delivery, quality, cost, responsiveness, and compliance metrics.</w:t>
      </w:r>
    </w:p>
    <w:p>
      <w:pPr>
        <w:spacing w:after="120"/>
      </w:pPr>
    </w:p>
    <w:p>
      <w:pPr>
        <w:spacing w:before="240" w:after="100"/>
        <w:pBdr>
          <w:bottom w:val="single" w:sz="6" w:space="1" w:color="2E4057"/>
        </w:pBdr>
      </w:pPr>
      <w:r>
        <w:rPr>
          <w:rFonts w:ascii="Arial" w:hAnsi="Arial"/>
          <w:b/>
          <w:i w:val="0"/>
          <w:color w:val="2E4057"/>
          <w:sz w:val="26"/>
        </w:rPr>
        <w:t>Evaluation Criteria Overview</w:t>
      </w:r>
    </w:p>
    <w:p>
      <w:pPr>
        <w:spacing w:after="120"/>
      </w:pPr>
      <w:r>
        <w:rPr>
          <w:rFonts w:ascii="Arial" w:hAnsi="Arial"/>
          <w:b w:val="0"/>
          <w:i w:val="0"/>
          <w:color w:val="222222"/>
          <w:sz w:val="22"/>
        </w:rPr>
        <w:t>Supplier evaluation covers quality performance, delivery, cost competitiveness, compliance, service, order accuracy, risk management, and innovation. Weightings range from 5% to 25%. Minimum standards include overall score ≥75%, no criterion below 60%, compliance ≥80%, and zero critical violations.</w:t>
      </w:r>
    </w:p>
    <w:p>
      <w:pPr>
        <w:spacing w:after="120"/>
      </w:pPr>
    </w:p>
    <w:p>
      <w:pPr>
        <w:spacing w:before="240" w:after="100"/>
        <w:pBdr>
          <w:bottom w:val="single" w:sz="6" w:space="1" w:color="2E4057"/>
        </w:pBdr>
      </w:pPr>
      <w:r>
        <w:rPr>
          <w:rFonts w:ascii="Arial" w:hAnsi="Arial"/>
          <w:b/>
          <w:i w:val="0"/>
          <w:color w:val="2E4057"/>
          <w:sz w:val="26"/>
        </w:rPr>
        <w:t>Product or Service Quality Assessment</w:t>
      </w:r>
    </w:p>
    <w:p>
      <w:pPr>
        <w:spacing w:after="120"/>
      </w:pPr>
      <w:r>
        <w:rPr>
          <w:rFonts w:ascii="Arial" w:hAnsi="Arial"/>
          <w:b w:val="0"/>
          <w:i w:val="0"/>
          <w:color w:val="222222"/>
          <w:sz w:val="22"/>
        </w:rPr>
        <w:t>The supplier maintained an average defect rate of 2.8% and a return rate of 1.9%, with a 96.5% on-specification compliance. Corrective actions include root cause analysis, process standardization, staff training, equipment upgrades, and Six Sigma initiatives for quality enhancement.</w:t>
      </w:r>
    </w:p>
    <w:p>
      <w:pPr>
        <w:spacing w:after="120"/>
      </w:pPr>
    </w:p>
    <w:p>
      <w:pPr>
        <w:spacing w:before="240" w:after="100"/>
        <w:pBdr>
          <w:bottom w:val="single" w:sz="6" w:space="1" w:color="2E4057"/>
        </w:pBdr>
      </w:pPr>
      <w:r>
        <w:rPr>
          <w:rFonts w:ascii="Arial" w:hAnsi="Arial"/>
          <w:b/>
          <w:i w:val="0"/>
          <w:color w:val="2E4057"/>
          <w:sz w:val="26"/>
        </w:rPr>
        <w:t>Delivery Performance Evaluation</w:t>
      </w:r>
    </w:p>
    <w:p>
      <w:pPr>
        <w:spacing w:after="120"/>
      </w:pPr>
      <w:r>
        <w:rPr>
          <w:rFonts w:ascii="Arial" w:hAnsi="Arial"/>
          <w:b w:val="0"/>
          <w:i w:val="0"/>
          <w:color w:val="222222"/>
          <w:sz w:val="22"/>
        </w:rPr>
        <w:t>Delivery performance was evaluated from 01 April 2025 to 31 March 2026 using key metrics: on-time delivery rate, lead time adherence, delayed deliveries, order fill rate, delivery accuracy, partial shipments frequency, transit damage incidence, and SLA compliance.</w:t>
      </w:r>
    </w:p>
    <w:p>
      <w:pPr>
        <w:spacing w:after="120"/>
      </w:pPr>
    </w:p>
    <w:p>
      <w:pPr>
        <w:spacing w:before="240" w:after="100"/>
        <w:pBdr>
          <w:bottom w:val="single" w:sz="6" w:space="1" w:color="2E4057"/>
        </w:pBdr>
      </w:pPr>
      <w:r>
        <w:rPr>
          <w:rFonts w:ascii="Arial" w:hAnsi="Arial"/>
          <w:b/>
          <w:i w:val="0"/>
          <w:color w:val="2E4057"/>
          <w:sz w:val="26"/>
        </w:rPr>
        <w:t>Cost Competitiveness Analysis</w:t>
      </w:r>
    </w:p>
    <w:p>
      <w:pPr>
        <w:spacing w:after="120"/>
      </w:pPr>
      <w:r>
        <w:rPr>
          <w:rFonts w:ascii="Arial" w:hAnsi="Arial"/>
          <w:b w:val="0"/>
          <w:i w:val="0"/>
          <w:color w:val="222222"/>
          <w:sz w:val="22"/>
        </w:rPr>
        <w:t>Cost competitiveness was assessed using cost per unit versus market benchmarks, total cost of ownership, price variance against contracted rates, volume discount effectiveness, transportation costs, and cost competitiveness index relative to alternatives.</w:t>
      </w:r>
    </w:p>
    <w:p>
      <w:pPr>
        <w:spacing w:after="120"/>
      </w:pPr>
    </w:p>
    <w:p>
      <w:pPr>
        <w:spacing w:before="240" w:after="100"/>
        <w:pBdr>
          <w:bottom w:val="single" w:sz="6" w:space="1" w:color="2E4057"/>
        </w:pBdr>
      </w:pPr>
      <w:r>
        <w:rPr>
          <w:rFonts w:ascii="Arial" w:hAnsi="Arial"/>
          <w:b/>
          <w:i w:val="0"/>
          <w:color w:val="2E4057"/>
          <w:sz w:val="26"/>
        </w:rPr>
        <w:t>Compliance and Certification Review</w:t>
      </w:r>
    </w:p>
    <w:p>
      <w:pPr>
        <w:spacing w:after="120"/>
      </w:pPr>
      <w:r>
        <w:rPr>
          <w:rFonts w:ascii="Arial" w:hAnsi="Arial"/>
          <w:b w:val="0"/>
          <w:i w:val="0"/>
          <w:color w:val="222222"/>
          <w:sz w:val="22"/>
        </w:rPr>
        <w:t>The supplier’s current compliance certifications and recent audit details are pending submission. No compliance gaps or non-conformities have been identified to date. Follow-up assessments and corrective actions will be initiated upon receipt of relevant documentation and audit outcomes.</w:t>
      </w:r>
    </w:p>
    <w:p>
      <w:pPr>
        <w:spacing w:after="120"/>
      </w:pPr>
    </w:p>
    <w:p>
      <w:pPr>
        <w:spacing w:before="240" w:after="100"/>
        <w:pBdr>
          <w:bottom w:val="single" w:sz="6" w:space="1" w:color="2E4057"/>
        </w:pBdr>
      </w:pPr>
      <w:r>
        <w:rPr>
          <w:rFonts w:ascii="Arial" w:hAnsi="Arial"/>
          <w:b/>
          <w:i w:val="0"/>
          <w:color w:val="2E4057"/>
          <w:sz w:val="26"/>
        </w:rPr>
        <w:t>Supplier Reliability Analysis</w:t>
      </w:r>
    </w:p>
    <w:p>
      <w:pPr>
        <w:spacing w:after="120"/>
      </w:pPr>
      <w:r>
        <w:rPr>
          <w:rFonts w:ascii="Arial" w:hAnsi="Arial"/>
          <w:b w:val="0"/>
          <w:i w:val="0"/>
          <w:color w:val="222222"/>
          <w:sz w:val="22"/>
        </w:rPr>
        <w:t>Supplier reliability is assessed based on delivery punctuality, quality consistency, and lead time stability. Preliminary data indicates timely deliveries averaging 92%, minimal quality issues reported quarterly, and lead time variability maintained within acceptable limits for sustained operational efficiency. Further monitoring is recommended.</w:t>
      </w:r>
    </w:p>
    <w:p>
      <w:pPr>
        <w:spacing w:after="120"/>
      </w:pPr>
    </w:p>
    <w:p>
      <w:pPr>
        <w:spacing w:before="240" w:after="100"/>
        <w:pBdr>
          <w:bottom w:val="single" w:sz="6" w:space="1" w:color="2E4057"/>
        </w:pBdr>
      </w:pPr>
      <w:r>
        <w:rPr>
          <w:rFonts w:ascii="Arial" w:hAnsi="Arial"/>
          <w:b/>
          <w:i w:val="0"/>
          <w:color w:val="2E4057"/>
          <w:sz w:val="26"/>
        </w:rPr>
        <w:t>Risk Assessment</w:t>
      </w:r>
    </w:p>
    <w:p>
      <w:pPr>
        <w:spacing w:after="120"/>
      </w:pPr>
      <w:r>
        <w:rPr>
          <w:rFonts w:ascii="Arial" w:hAnsi="Arial"/>
          <w:b w:val="0"/>
          <w:i w:val="0"/>
          <w:color w:val="222222"/>
          <w:sz w:val="22"/>
        </w:rPr>
        <w:t>The supplier's risk factors include potential service disruptions, data security vulnerabilities, and compliance challenges. Mitigation strategies are reportedly in place but details are unavailable. No documented risk incidents have been reported in the past 12 months, indicating stable performance.</w:t>
      </w:r>
    </w:p>
    <w:p>
      <w:pPr>
        <w:spacing w:after="120"/>
      </w:pPr>
    </w:p>
    <w:p>
      <w:pPr>
        <w:spacing w:before="240" w:after="100"/>
        <w:pBdr>
          <w:bottom w:val="single" w:sz="6" w:space="1" w:color="2E4057"/>
        </w:pBdr>
      </w:pPr>
      <w:r>
        <w:rPr>
          <w:rFonts w:ascii="Arial" w:hAnsi="Arial"/>
          <w:b/>
          <w:i w:val="0"/>
          <w:color w:val="2E4057"/>
          <w:sz w:val="26"/>
        </w:rPr>
        <w:t>Overall Supplier Rating</w:t>
      </w:r>
    </w:p>
    <w:p>
      <w:pPr>
        <w:spacing w:after="120"/>
      </w:pPr>
      <w:r>
        <w:rPr>
          <w:rFonts w:ascii="Arial" w:hAnsi="Arial"/>
          <w:b w:val="0"/>
          <w:i w:val="0"/>
          <w:color w:val="222222"/>
          <w:sz w:val="22"/>
        </w:rPr>
        <w:t>The supplier received an overall rating of 4.5 out of 5.0, indicating excellent performance. Evaluation criteria included product quality, on-time delivery, cost competitiveness, contract compliance, communication, issue resolution, innovation, and risk management for the period January to March 2026.</w:t>
      </w:r>
    </w:p>
    <w:p>
      <w:pPr>
        <w:spacing w:after="120"/>
      </w:pPr>
    </w:p>
    <w:p>
      <w:pPr>
        <w:spacing w:before="240" w:after="100"/>
        <w:pBdr>
          <w:bottom w:val="single" w:sz="6" w:space="1" w:color="2E4057"/>
        </w:pBdr>
      </w:pPr>
      <w:r>
        <w:rPr>
          <w:rFonts w:ascii="Arial" w:hAnsi="Arial"/>
          <w:b/>
          <w:i w:val="0"/>
          <w:color w:val="2E4057"/>
          <w:sz w:val="26"/>
        </w:rPr>
        <w:t>Recommendations for Supplier Relationship</w:t>
      </w:r>
    </w:p>
    <w:p>
      <w:pPr>
        <w:spacing w:after="80"/>
        <w:ind w:left="360"/>
      </w:pPr>
      <w:r>
        <w:rPr>
          <w:rFonts w:ascii="Arial" w:hAnsi="Arial"/>
          <w:b w:val="0"/>
          <w:i w:val="0"/>
          <w:color w:val="222222"/>
          <w:sz w:val="22"/>
        </w:rPr>
        <w:t>1. Establish quarterly performance reviews and a dedicated contact for communication 2. Define clear SLAs with measurable outcomes and implement feedback escalation processes 3. Encourage collaborative demand planning and continuous improvement initiatives 4.</w:t>
      </w:r>
    </w:p>
    <w:p>
      <w:pPr>
        <w:spacing w:after="120"/>
      </w:pPr>
    </w:p>
    <w:p>
      <w:pPr>
        <w:spacing w:before="240" w:after="100"/>
        <w:pBdr>
          <w:bottom w:val="single" w:sz="6" w:space="1" w:color="2E4057"/>
        </w:pBdr>
      </w:pPr>
      <w:r>
        <w:rPr>
          <w:rFonts w:ascii="Arial" w:hAnsi="Arial"/>
          <w:b/>
          <w:i w:val="0"/>
          <w:color w:val="2E4057"/>
          <w:sz w:val="26"/>
        </w:rPr>
        <w:t>Management Review and Approval</w:t>
      </w:r>
    </w:p>
    <w:p>
      <w:pPr>
        <w:spacing w:after="120"/>
      </w:pPr>
      <w:r>
        <w:rPr>
          <w:rFonts w:ascii="Arial" w:hAnsi="Arial"/>
          <w:b w:val="0"/>
          <w:i w:val="0"/>
          <w:color w:val="222222"/>
          <w:sz w:val="22"/>
        </w:rPr>
        <w:t>This document requires the following authorised signatures for management review and approval.</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Supply Chain Supervisor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Supplier Evaluation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Supplier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