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D2DBF">
      <w:pPr>
        <w:jc w:val="center"/>
        <w:rPr>
          <w:rFonts w:hint="default" w:ascii="华文中宋" w:hAnsi="华文中宋" w:eastAsia="华文中宋"/>
          <w:b/>
          <w:sz w:val="44"/>
          <w:szCs w:val="44"/>
          <w:lang w:val="en-US" w:eastAsia="zh-CN"/>
        </w:rPr>
      </w:pPr>
      <w:r>
        <w:rPr>
          <w:rFonts w:hint="eastAsia" w:ascii="华文中宋" w:hAnsi="华文中宋" w:eastAsia="华文中宋"/>
          <w:b/>
          <w:sz w:val="44"/>
          <w:szCs w:val="44"/>
        </w:rPr>
        <w:t>南开大学</w:t>
      </w:r>
      <w:r>
        <w:rPr>
          <w:rFonts w:hint="eastAsia" w:ascii="华文中宋" w:hAnsi="华文中宋" w:eastAsia="华文中宋"/>
          <w:b/>
          <w:sz w:val="44"/>
          <w:szCs w:val="44"/>
          <w:lang w:val="en-US" w:eastAsia="zh-CN"/>
        </w:rPr>
        <w:t>软件学院</w:t>
      </w:r>
      <w:r>
        <w:rPr>
          <w:rFonts w:hint="eastAsia" w:ascii="华文中宋" w:hAnsi="华文中宋" w:eastAsia="华文中宋"/>
          <w:b/>
          <w:sz w:val="44"/>
          <w:szCs w:val="44"/>
        </w:rPr>
        <w:t>本科</w:t>
      </w:r>
      <w:r>
        <w:rPr>
          <w:rFonts w:hint="eastAsia" w:ascii="华文中宋" w:hAnsi="华文中宋" w:eastAsia="华文中宋"/>
          <w:b/>
          <w:sz w:val="44"/>
          <w:szCs w:val="44"/>
          <w:lang w:val="en-US" w:eastAsia="zh-CN"/>
        </w:rPr>
        <w:t>科研实训周报表</w:t>
      </w:r>
    </w:p>
    <w:tbl>
      <w:tblPr>
        <w:tblStyle w:val="5"/>
        <w:tblW w:w="1026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529"/>
        <w:gridCol w:w="2178"/>
        <w:gridCol w:w="1179"/>
        <w:gridCol w:w="1389"/>
        <w:gridCol w:w="1203"/>
        <w:gridCol w:w="2922"/>
      </w:tblGrid>
      <w:tr w14:paraId="0B61D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389" w:type="dxa"/>
            <w:gridSpan w:val="2"/>
            <w:noWrap w:val="0"/>
            <w:vAlign w:val="center"/>
          </w:tcPr>
          <w:p w14:paraId="451411D0">
            <w:pPr>
              <w:snapToGrid w:val="0"/>
              <w:jc w:val="center"/>
              <w:rPr>
                <w:rFonts w:hint="eastAsia" w:ascii="楷体_GB2312" w:eastAsia="楷体_GB2312"/>
                <w:b/>
                <w:szCs w:val="21"/>
              </w:rPr>
            </w:pPr>
            <w:r>
              <w:rPr>
                <w:rFonts w:hint="eastAsia" w:ascii="楷体_GB2312" w:eastAsia="楷体_GB2312"/>
                <w:b/>
                <w:szCs w:val="21"/>
              </w:rPr>
              <w:t>姓    名</w:t>
            </w:r>
          </w:p>
        </w:tc>
        <w:tc>
          <w:tcPr>
            <w:tcW w:w="2178" w:type="dxa"/>
            <w:noWrap w:val="0"/>
            <w:vAlign w:val="center"/>
          </w:tcPr>
          <w:p w14:paraId="1D20ADB6">
            <w:pPr>
              <w:snapToGrid w:val="0"/>
              <w:jc w:val="center"/>
              <w:rPr>
                <w:rFonts w:hint="eastAsia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颜浩轩</w:t>
            </w:r>
          </w:p>
        </w:tc>
        <w:tc>
          <w:tcPr>
            <w:tcW w:w="1179" w:type="dxa"/>
            <w:noWrap w:val="0"/>
            <w:vAlign w:val="center"/>
          </w:tcPr>
          <w:p w14:paraId="311FE363">
            <w:pPr>
              <w:snapToGrid w:val="0"/>
              <w:jc w:val="center"/>
              <w:rPr>
                <w:rFonts w:hint="eastAsia" w:ascii="楷体_GB2312" w:eastAsia="楷体_GB2312"/>
                <w:b/>
                <w:szCs w:val="21"/>
              </w:rPr>
            </w:pPr>
            <w:r>
              <w:rPr>
                <w:rFonts w:hint="eastAsia" w:ascii="楷体_GB2312" w:eastAsia="楷体_GB2312"/>
                <w:b/>
                <w:szCs w:val="21"/>
              </w:rPr>
              <w:t>学    号</w:t>
            </w:r>
          </w:p>
        </w:tc>
        <w:tc>
          <w:tcPr>
            <w:tcW w:w="1389" w:type="dxa"/>
            <w:noWrap w:val="0"/>
            <w:vAlign w:val="center"/>
          </w:tcPr>
          <w:p w14:paraId="426A715A">
            <w:pPr>
              <w:snapToGrid w:val="0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2412769</w:t>
            </w:r>
          </w:p>
        </w:tc>
        <w:tc>
          <w:tcPr>
            <w:tcW w:w="1203" w:type="dxa"/>
            <w:noWrap w:val="0"/>
            <w:vAlign w:val="center"/>
          </w:tcPr>
          <w:p w14:paraId="49DC85C9">
            <w:pPr>
              <w:snapToGrid w:val="0"/>
              <w:jc w:val="center"/>
              <w:rPr>
                <w:rFonts w:hint="eastAsia" w:ascii="楷体_GB2312" w:eastAsia="楷体_GB2312"/>
                <w:b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b/>
                <w:szCs w:val="21"/>
                <w:lang w:val="en-US" w:eastAsia="zh-CN"/>
              </w:rPr>
              <w:t>指导教师</w:t>
            </w:r>
          </w:p>
        </w:tc>
        <w:tc>
          <w:tcPr>
            <w:tcW w:w="2922" w:type="dxa"/>
            <w:noWrap w:val="0"/>
            <w:vAlign w:val="center"/>
          </w:tcPr>
          <w:p w14:paraId="5DE6D147">
            <w:pPr>
              <w:snapToGrid w:val="0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高楠，宋泽坤</w:t>
            </w:r>
          </w:p>
        </w:tc>
      </w:tr>
      <w:tr w14:paraId="68479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389" w:type="dxa"/>
            <w:gridSpan w:val="2"/>
            <w:noWrap w:val="0"/>
            <w:vAlign w:val="center"/>
          </w:tcPr>
          <w:p w14:paraId="6D3ACA42">
            <w:pPr>
              <w:snapToGrid w:val="0"/>
              <w:jc w:val="center"/>
              <w:rPr>
                <w:rFonts w:hint="default" w:ascii="楷体_GB2312" w:eastAsia="楷体_GB2312"/>
                <w:b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szCs w:val="21"/>
                <w:lang w:val="en-US" w:eastAsia="zh-CN"/>
              </w:rPr>
              <w:t>项目名称</w:t>
            </w:r>
          </w:p>
        </w:tc>
        <w:tc>
          <w:tcPr>
            <w:tcW w:w="8871" w:type="dxa"/>
            <w:gridSpan w:val="5"/>
            <w:noWrap w:val="0"/>
            <w:vAlign w:val="center"/>
          </w:tcPr>
          <w:p w14:paraId="44476BDC">
            <w:pPr>
              <w:snapToGrid w:val="0"/>
              <w:ind w:firstLine="315" w:firstLineChars="150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AI+心理项目</w:t>
            </w:r>
          </w:p>
        </w:tc>
      </w:tr>
      <w:tr w14:paraId="50DD8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389" w:type="dxa"/>
            <w:gridSpan w:val="2"/>
            <w:noWrap w:val="0"/>
            <w:vAlign w:val="center"/>
          </w:tcPr>
          <w:p w14:paraId="4CB4ADFC">
            <w:pPr>
              <w:snapToGrid w:val="0"/>
              <w:jc w:val="center"/>
              <w:rPr>
                <w:rFonts w:hint="eastAsia" w:ascii="楷体_GB2312" w:eastAsia="楷体_GB2312"/>
                <w:b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b/>
                <w:szCs w:val="21"/>
                <w:lang w:val="en-US" w:eastAsia="zh-CN"/>
              </w:rPr>
              <w:t>周报日期</w:t>
            </w:r>
          </w:p>
        </w:tc>
        <w:tc>
          <w:tcPr>
            <w:tcW w:w="8871" w:type="dxa"/>
            <w:gridSpan w:val="5"/>
            <w:noWrap w:val="0"/>
            <w:vAlign w:val="center"/>
          </w:tcPr>
          <w:p w14:paraId="548C7792">
            <w:pPr>
              <w:snapToGrid w:val="0"/>
              <w:ind w:firstLine="315" w:firstLineChars="150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2026</w:t>
            </w:r>
            <w:r>
              <w:rPr>
                <w:rFonts w:hint="eastAsia" w:ascii="楷体_GB2312" w:eastAsia="楷体_GB2312"/>
                <w:szCs w:val="21"/>
              </w:rPr>
              <w:t xml:space="preserve"> 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楷体_GB2312" w:eastAsia="楷体_GB2312"/>
                <w:szCs w:val="21"/>
              </w:rPr>
              <w:t>年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7</w:t>
            </w:r>
            <w:r>
              <w:rPr>
                <w:rFonts w:hint="eastAsia" w:ascii="楷体_GB2312" w:eastAsia="楷体_GB2312"/>
                <w:szCs w:val="21"/>
              </w:rPr>
              <w:t xml:space="preserve"> 月 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22</w:t>
            </w:r>
            <w:r>
              <w:rPr>
                <w:rFonts w:hint="eastAsia" w:ascii="楷体_GB2312" w:eastAsia="楷体_GB2312"/>
                <w:szCs w:val="21"/>
              </w:rPr>
              <w:t xml:space="preserve"> 日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楷体_GB2312" w:eastAsia="楷体_GB2312"/>
                <w:szCs w:val="21"/>
              </w:rPr>
              <w:t xml:space="preserve">至  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2026</w:t>
            </w:r>
            <w:r>
              <w:rPr>
                <w:rFonts w:hint="eastAsia" w:ascii="楷体_GB2312" w:eastAsia="楷体_GB2312"/>
                <w:szCs w:val="21"/>
              </w:rPr>
              <w:t xml:space="preserve"> 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楷体_GB2312" w:eastAsia="楷体_GB2312"/>
                <w:szCs w:val="21"/>
              </w:rPr>
              <w:t xml:space="preserve">年 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7</w:t>
            </w:r>
            <w:r>
              <w:rPr>
                <w:rFonts w:hint="eastAsia" w:ascii="楷体_GB2312" w:eastAsia="楷体_GB2312"/>
                <w:szCs w:val="21"/>
              </w:rPr>
              <w:t xml:space="preserve"> 月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29</w:t>
            </w:r>
            <w:r>
              <w:rPr>
                <w:rFonts w:hint="eastAsia" w:ascii="楷体_GB2312" w:eastAsia="楷体_GB2312"/>
                <w:szCs w:val="21"/>
              </w:rPr>
              <w:t xml:space="preserve"> 日  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第</w:t>
            </w:r>
            <w:r>
              <w:rPr>
                <w:rFonts w:hint="eastAsia" w:ascii="楷体_GB2312" w:eastAsia="楷体_GB2312"/>
                <w:szCs w:val="21"/>
              </w:rPr>
              <w:t xml:space="preserve"> 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2</w:t>
            </w:r>
            <w:r>
              <w:rPr>
                <w:rFonts w:hint="eastAsia" w:ascii="楷体_GB2312" w:eastAsia="楷体_GB2312"/>
                <w:szCs w:val="21"/>
              </w:rPr>
              <w:t xml:space="preserve"> 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周</w:t>
            </w:r>
          </w:p>
        </w:tc>
      </w:tr>
      <w:tr w14:paraId="502C7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2" w:hRule="atLeast"/>
        </w:trPr>
        <w:tc>
          <w:tcPr>
            <w:tcW w:w="860" w:type="dxa"/>
            <w:noWrap w:val="0"/>
            <w:textDirection w:val="tbRlV"/>
            <w:vAlign w:val="center"/>
          </w:tcPr>
          <w:p w14:paraId="71C77DD0">
            <w:pPr>
              <w:snapToGrid w:val="0"/>
              <w:spacing w:line="60" w:lineRule="atLeast"/>
              <w:ind w:left="113" w:right="113"/>
              <w:jc w:val="center"/>
              <w:rPr>
                <w:rFonts w:hint="eastAsia" w:ascii="楷体_GB2312" w:eastAsia="楷体_GB2312"/>
                <w:b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b/>
                <w:sz w:val="24"/>
                <w:lang w:val="en-US" w:eastAsia="zh-CN"/>
              </w:rPr>
              <w:t>本周实训内容</w:t>
            </w:r>
          </w:p>
        </w:tc>
        <w:tc>
          <w:tcPr>
            <w:tcW w:w="9400" w:type="dxa"/>
            <w:gridSpan w:val="6"/>
            <w:noWrap w:val="0"/>
            <w:vAlign w:val="top"/>
          </w:tcPr>
          <w:p w14:paraId="53F31ABF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20" w:firstLineChars="10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本周主要围绕无感知心理测评智能体的阶段汇报、项目口径修订、本地原型代码开发和应用测试准备展开。</w:t>
            </w:r>
          </w:p>
          <w:p w14:paraId="2EB3BA11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20" w:firstLineChars="10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7 月 23 日主要整理第二次组会汇报思路，对比前一次汇报内容，明确本次不再重复访谈分析和 Miro 需求整理，而是重点展示智能体设计细节、对话流程、安全规则、后台报告和飞书上传闭环。同时梳理了 09_智能体设计 中各文件之间的关系，为后续汇报和代码实现确定主线。</w:t>
            </w:r>
          </w:p>
          <w:p w14:paraId="3FE0A9F1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20" w:firstLineChars="10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7 月 24 日完成第二次组会汇报材料和会议纪要整理，并根据项目最新方向修订核心口径：项目最终形态是无感知测评，即学生端只进行自然对话，完整评估报告在后台静默生成，并自动上传至飞书多维表格，不设置人工复核流程。同时开始推进 Mental-LLM 项目的基础工程重构，处理 API Key 暴露风险，建立 Vite + TypeScript 工程骨架、接口契约、基础文档和测试目录。</w:t>
            </w:r>
          </w:p>
          <w:p w14:paraId="296517AE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20" w:firstLineChars="10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7 月 27 日主要进行代码联调与真实接口验证。使用自己的 NK-GeniOS Agent 和新 API Key 尝试真实对话链路，检查本地代理、环境变量和请求配置。预检结果显示本地配置基本正确，但上游返回 API service is disabled，说明当前阻塞主要来自平台侧 API 服务启用或 Agent 发布状态，而不是本地代码问题。</w:t>
            </w:r>
          </w:p>
          <w:p w14:paraId="4548C45A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20" w:firstLineChars="10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/>
                <w:sz w:val="22"/>
                <w:szCs w:val="22"/>
                <w:lang w:eastAsia="zh-CN"/>
              </w:rPr>
              <w:t>7 月 28 日继续进行项目代码开发，将前期智能体设计方案进一步落实到本地原型中。重点完成 D0-D12 对话阶段状态、结构化评估字段、风险证据规则、中文非诊断报告模板和统一 workflow payload 接线。同时对 src/、docs/、tests/ 等目录进行低风险整理，清理无效占位文件、归档历史资源，并运行本地验证保证项目结构调整后仍可正常工作。</w:t>
            </w:r>
          </w:p>
        </w:tc>
      </w:tr>
      <w:tr w14:paraId="10556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2" w:hRule="atLeast"/>
        </w:trPr>
        <w:tc>
          <w:tcPr>
            <w:tcW w:w="860" w:type="dxa"/>
            <w:noWrap w:val="0"/>
            <w:textDirection w:val="tbRlV"/>
            <w:vAlign w:val="center"/>
          </w:tcPr>
          <w:p w14:paraId="476AA4F7">
            <w:pPr>
              <w:snapToGrid w:val="0"/>
              <w:spacing w:line="60" w:lineRule="atLeast"/>
              <w:ind w:left="113" w:right="113"/>
              <w:jc w:val="center"/>
              <w:rPr>
                <w:rFonts w:hint="eastAsia" w:ascii="楷体_GB2312" w:eastAsia="楷体_GB2312"/>
                <w:b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sz w:val="24"/>
                <w:lang w:val="en-US" w:eastAsia="zh-CN"/>
              </w:rPr>
              <w:t>本周成果与进展</w:t>
            </w:r>
          </w:p>
        </w:tc>
        <w:tc>
          <w:tcPr>
            <w:tcW w:w="9400" w:type="dxa"/>
            <w:gridSpan w:val="6"/>
            <w:noWrap w:val="0"/>
            <w:vAlign w:val="top"/>
          </w:tcPr>
          <w:p w14:paraId="7C75DEFF">
            <w:pPr>
              <w:snapToGrid w:val="0"/>
              <w:spacing w:line="60" w:lineRule="atLeast"/>
              <w:ind w:firstLine="220" w:firstLineChars="10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本周项目从“需求分析和方案设计”进一步推进到“本地原型开发和流程对齐”阶段，已经形成了较清晰的项目实现路线。</w:t>
            </w:r>
          </w:p>
          <w:p w14:paraId="7FA563ED">
            <w:pPr>
              <w:snapToGrid w:val="0"/>
              <w:spacing w:line="60" w:lineRule="atLeast"/>
              <w:ind w:firstLine="220" w:firstLineChars="10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首先，完成了第二次组会汇报和会议纪要材料，能够较完整地说明当前项目的定位、智能体设计方案、后台报告生成逻辑、飞书上传思路和后续 MVP 目标。相比上一阶段，本周汇报重点从访谈需求提炼转向系统如何具体运行。</w:t>
            </w:r>
          </w:p>
          <w:p w14:paraId="769ED518">
            <w:pPr>
              <w:snapToGrid w:val="0"/>
              <w:spacing w:line="60" w:lineRule="atLeast"/>
              <w:ind w:firstLine="220" w:firstLineChars="10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其次，统一了项目核心口径：本项目不是心理诊断系统，也不是人工复核系统，而是无感知心理测评对话智能体。学生端保持自然对话体验，后台自动生成结构化报告并上传飞书；对于潜在安全问题，只提供学校心理健康中心等现实支持资源，不承诺诊断、治疗或自动危机干预。</w:t>
            </w:r>
          </w:p>
          <w:p w14:paraId="706CC969">
            <w:pPr>
              <w:snapToGrid w:val="0"/>
              <w:spacing w:line="60" w:lineRule="atLeast"/>
              <w:ind w:firstLine="220" w:firstLineChars="10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第三，完成了 Mental-LLM 本地项目的基础工程重构。项目已从早期较集中的静态原型，逐步拆分为 src/app、src/domain、src/services、src/contracts、docs、tests 等结构，为后续继续开发对话流程、风险识别、报告生成和工作流上传提供了更清楚的代码基础。</w:t>
            </w:r>
          </w:p>
          <w:p w14:paraId="1A62A0C1">
            <w:pPr>
              <w:snapToGrid w:val="0"/>
              <w:spacing w:line="60" w:lineRule="atLeast"/>
              <w:ind w:firstLine="220" w:firstLineChars="10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第四，完成了本地原型与智能体设计方案的进一步对齐。当前代码已经开始支持对话阶段推进、结构化评估信息沉淀、风险证据记录、中文非诊断报告生成和飞书 payload 构造，使项目从“普通聊天页面”向“可解释、可测试的无感知测评原型”推进。</w:t>
            </w:r>
          </w:p>
          <w:p w14:paraId="67DD093A">
            <w:pPr>
              <w:snapToGrid w:val="0"/>
              <w:spacing w:line="60" w:lineRule="atLeast"/>
              <w:ind w:firstLine="220" w:firstLineChars="1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第五，完成了多轮本地验证，包括类型检查、smoke 测试、单元测试和本地验证脚本。当前本地原型的主要运行链路保持可用，但真实 NK-GeniOS 线上联调仍需等待平台授权或 API 服务启用后继续完成。</w:t>
            </w:r>
          </w:p>
        </w:tc>
      </w:tr>
      <w:tr w14:paraId="516FC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8" w:hRule="atLeast"/>
        </w:trPr>
        <w:tc>
          <w:tcPr>
            <w:tcW w:w="860" w:type="dxa"/>
            <w:noWrap w:val="0"/>
            <w:textDirection w:val="tbRlV"/>
            <w:vAlign w:val="center"/>
          </w:tcPr>
          <w:p w14:paraId="2378CBAF">
            <w:pPr>
              <w:ind w:left="113" w:right="113"/>
              <w:jc w:val="center"/>
              <w:rPr>
                <w:rFonts w:hint="default" w:ascii="楷体_GB2312" w:eastAsia="楷体_GB2312"/>
                <w:b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  <w:lang w:val="en-US" w:eastAsia="zh-CN"/>
              </w:rPr>
              <w:t>本周遇到的问题及解决方案</w:t>
            </w:r>
          </w:p>
        </w:tc>
        <w:tc>
          <w:tcPr>
            <w:tcW w:w="9400" w:type="dxa"/>
            <w:gridSpan w:val="6"/>
            <w:noWrap w:val="0"/>
            <w:vAlign w:val="top"/>
          </w:tcPr>
          <w:p w14:paraId="02499929">
            <w:pPr>
              <w:ind w:firstLine="220" w:firstLineChars="10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本周遇到的主要问题之一是 NK-GeniOS 真实接口联调受平台侧状态限制。虽然本地环境变量、代理配置和请求链路已经通过预检，但真实调用时上游返回 API service is disabled。目前判断该问题主要与 Agent API 服务启用或发布状态有关，因此已将问题记录到联调日志和排障文档中，等待平台侧权限或服务状态确认后继续测试。</w:t>
            </w:r>
          </w:p>
          <w:p w14:paraId="070E2D77">
            <w:pPr>
              <w:ind w:firstLine="220" w:firstLineChars="10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第二个问题是前期项目文档中曾出现“人工复核”相关表述，但当前项目最终方向已经调整为无感知测评。为避免后续汇报和代码实现出现口径冲突，本周对相关设计内容进行了统一，将最终流程调整为“后台静默报告 + 飞书自动上传”，并强调学生端不展示完整报告。</w:t>
            </w:r>
          </w:p>
          <w:p w14:paraId="5002419D">
            <w:pPr>
              <w:ind w:firstLine="220" w:firstLineChars="10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第三个问题是代码功能逐渐增多后，项目目录和源码文件出现一定冗杂。针对这一问题，本周没有直接进行大规模高风险重构，而是采用低风险整理方式，清理无效占位文件、合并说明文档、整理 docs 和 tests 目录，并在整理后运行本地验证，保证没有破坏现有运行链路。</w:t>
            </w:r>
          </w:p>
          <w:p w14:paraId="2C507739">
            <w:pPr>
              <w:ind w:firstLine="220" w:firstLineChars="100"/>
              <w:rPr>
                <w:rFonts w:hint="eastAsia" w:ascii="楷体_GB2312" w:eastAsia="楷体_GB2312"/>
                <w:b/>
                <w:szCs w:val="21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第四个问题是心理健康相关功能需要严格控制表达边界。当前解决方式是在报告模板、风险规则和学生端展示中统一采用非诊断表达，后台只记录基于本次对话的信息、风险线索和信息缺口，不向学生展示内部风险编号、完整报告或飞书上传内容。</w:t>
            </w:r>
          </w:p>
        </w:tc>
      </w:tr>
      <w:tr w14:paraId="66150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99" w:hRule="atLeast"/>
        </w:trPr>
        <w:tc>
          <w:tcPr>
            <w:tcW w:w="860" w:type="dxa"/>
            <w:noWrap w:val="0"/>
            <w:textDirection w:val="tbRlV"/>
            <w:vAlign w:val="center"/>
          </w:tcPr>
          <w:p w14:paraId="1570673A">
            <w:pPr>
              <w:ind w:left="113" w:right="113"/>
              <w:jc w:val="center"/>
              <w:rPr>
                <w:rFonts w:hint="eastAsia"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  <w:lang w:val="en-US" w:eastAsia="zh-CN"/>
              </w:rPr>
              <w:t>下周工作计划</w:t>
            </w:r>
          </w:p>
        </w:tc>
        <w:tc>
          <w:tcPr>
            <w:tcW w:w="9400" w:type="dxa"/>
            <w:gridSpan w:val="6"/>
            <w:noWrap w:val="0"/>
            <w:vAlign w:val="top"/>
          </w:tcPr>
          <w:p w14:paraId="53E86B8C">
            <w:pPr>
              <w:ind w:firstLine="220" w:firstLineChars="10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下周计划继续完善整个项目流程，使当前本地原型进一步接近可测试、可展示的最小系统。重点包括继续优化对话阶段推进、结构化评估字段、风险识别规则、后台报告模板和飞书上传内容。</w:t>
            </w:r>
          </w:p>
          <w:p w14:paraId="4EE647C9">
            <w:pPr>
              <w:ind w:firstLine="220" w:firstLineChars="10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在老师安排下，开展应用测试，重点测试普通压力对话、睡眠问题、人际困扰、学习压力、用户拒答、否定风险、引用他人风险、明确高风险表达、报告生成和上传失败等场景，检查系统是否能够正确记录状态、生成报告并保持学生端展示边界。</w:t>
            </w:r>
          </w:p>
          <w:p w14:paraId="302692EA">
            <w:pPr>
              <w:ind w:firstLine="220" w:firstLineChars="10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同时继续关注 NK-GeniOS 授权和 API 服务状态。如果平台侧权限通过，将继续进行真实线上联调；如果仍未通过，则继续完善本地验证、配置文档和异常处理说明。</w:t>
            </w:r>
          </w:p>
          <w:p w14:paraId="5C60A712">
            <w:pPr>
              <w:ind w:firstLine="220" w:firstLineChars="1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此外，下周会阅读与对话式心理健康评估、LLM 安全边界、心理风险识别、量表自然语言化和数字心理健康干预相关的论文，为后续系统优化、测试设计和最终汇报提供理论依据。</w:t>
            </w:r>
          </w:p>
          <w:p w14:paraId="3243B015">
            <w:pPr>
              <w:ind w:firstLine="525" w:firstLineChars="250"/>
              <w:jc w:val="right"/>
              <w:rPr>
                <w:rFonts w:hint="eastAsia" w:ascii="楷体_GB2312" w:eastAsia="楷体_GB2312"/>
                <w:szCs w:val="21"/>
              </w:rPr>
            </w:pPr>
          </w:p>
        </w:tc>
      </w:tr>
    </w:tbl>
    <w:p w14:paraId="6D706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</w:pPr>
    </w:p>
    <w:sectPr>
      <w:pgSz w:w="11906" w:h="16838"/>
      <w:pgMar w:top="851" w:right="1134" w:bottom="851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7A1B02"/>
    <w:rsid w:val="05222BF8"/>
    <w:rsid w:val="0AFD3F57"/>
    <w:rsid w:val="1B776A68"/>
    <w:rsid w:val="1B7A1B02"/>
    <w:rsid w:val="1D273B54"/>
    <w:rsid w:val="282709AF"/>
    <w:rsid w:val="350467A1"/>
    <w:rsid w:val="398C3834"/>
    <w:rsid w:val="49727175"/>
    <w:rsid w:val="5E2A01B0"/>
    <w:rsid w:val="5ECD1A7B"/>
    <w:rsid w:val="6F18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300</Words>
  <Characters>309</Characters>
  <Lines>0</Lines>
  <Paragraphs>0</Paragraphs>
  <TotalTime>9</TotalTime>
  <ScaleCrop>false</ScaleCrop>
  <LinksUpToDate>false</LinksUpToDate>
  <CharactersWithSpaces>350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2026-07-15T03:31:00Z</dcterms:created>
  <dc:creator>沈舒尹</dc:creator>
  <cp:lastModifiedBy>愤怒的小轩</cp:lastModifiedBy>
  <dcterms:modified xsi:type="dcterms:W3CDTF">2026-07-29T06:05:24Z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C773B4FAE8A14A3EA95E4532CCDF1F14_11</vt:lpwstr>
  </property>
  <property fmtid="{D5CDD505-2E9C-101B-9397-08002B2CF9AE}" pid="4" name="KSOTemplateDocerSaveRecord">
    <vt:lpwstr>eyJoZGlkIjoiZTBhODJkY2Y3Nzc4ZTg4MjNhZDU2NjgxZjM5YjllNWIiLCJ1c2VySWQiOiIyNTczMzgzNiJ9</vt:lpwstr>
  </property>
</Properties>
</file>